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CD0055" w:rsidTr="006816EC">
        <w:trPr>
          <w:jc w:val="center"/>
        </w:trPr>
        <w:tc>
          <w:tcPr>
            <w:tcW w:w="743" w:type="dxa"/>
            <w:hideMark/>
          </w:tcPr>
          <w:p w:rsidR="006816EC" w:rsidRPr="00CD0055" w:rsidRDefault="00A156E6">
            <w:pPr>
              <w:jc w:val="both"/>
              <w:rPr>
                <w:rFonts w:ascii="Arial (W1)" w:hAnsi="Arial (W1)"/>
                <w:b/>
                <w:bCs/>
                <w:sz w:val="26"/>
                <w:szCs w:val="26"/>
              </w:rPr>
            </w:pPr>
            <w:r>
              <w:rPr>
                <w:rFonts w:hint="cs"/>
                <w:b/>
                <w:bCs/>
                <w:sz w:val="26"/>
                <w:szCs w:val="26"/>
                <w:rtl/>
              </w:rPr>
              <w:t xml:space="preserve"> </w:t>
            </w:r>
            <w:r w:rsidR="00295DD1">
              <w:rPr>
                <w:rFonts w:hint="cs"/>
                <w:b/>
                <w:bCs/>
                <w:sz w:val="26"/>
                <w:szCs w:val="26"/>
                <w:rtl/>
              </w:rPr>
              <w:t>ל</w:t>
            </w:r>
            <w:r w:rsidR="006816EC" w:rsidRPr="00CD0055">
              <w:rPr>
                <w:rFonts w:hint="cs"/>
                <w:b/>
                <w:bCs/>
                <w:sz w:val="26"/>
                <w:szCs w:val="26"/>
                <w:rtl/>
              </w:rPr>
              <w:t xml:space="preserve">פני </w:t>
            </w:r>
          </w:p>
        </w:tc>
        <w:tc>
          <w:tcPr>
            <w:tcW w:w="8077" w:type="dxa"/>
            <w:gridSpan w:val="2"/>
            <w:hideMark/>
          </w:tcPr>
          <w:p w:rsidR="006816EC" w:rsidRPr="00CD0055" w:rsidRDefault="00B32C61" w:rsidP="006816EC">
            <w:pPr>
              <w:rPr>
                <w:rFonts w:ascii="Arial" w:hAnsi="Arial"/>
                <w:b/>
                <w:bCs/>
                <w:sz w:val="26"/>
                <w:szCs w:val="26"/>
                <w:rtl/>
              </w:rPr>
            </w:pPr>
            <w:r w:rsidRPr="00CD0055">
              <w:rPr>
                <w:rFonts w:ascii="Arial" w:hAnsi="Arial" w:hint="cs"/>
                <w:b/>
                <w:bCs/>
                <w:sz w:val="26"/>
                <w:szCs w:val="26"/>
                <w:rtl/>
              </w:rPr>
              <w:t>כבוד</w:t>
            </w:r>
            <w:r w:rsidR="006816EC" w:rsidRPr="00CD0055">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w:t>
                </w:r>
              </w:sdtContent>
            </w:sdt>
            <w:r w:rsidR="006816EC" w:rsidRPr="00CD0055">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גלעד הס</w:t>
                </w:r>
              </w:sdtContent>
            </w:sdt>
          </w:p>
          <w:p w:rsidR="006816EC" w:rsidRPr="00CD0055" w:rsidRDefault="006816EC" w:rsidP="006816EC">
            <w:pPr>
              <w:rPr>
                <w:sz w:val="26"/>
                <w:szCs w:val="26"/>
              </w:rPr>
            </w:pPr>
          </w:p>
        </w:tc>
      </w:tr>
      <w:tr w:rsidR="006816EC" w:rsidRPr="00CD0055" w:rsidTr="006816EC">
        <w:trPr>
          <w:jc w:val="center"/>
        </w:trPr>
        <w:tc>
          <w:tcPr>
            <w:tcW w:w="3249" w:type="dxa"/>
            <w:gridSpan w:val="2"/>
          </w:tcPr>
          <w:p w:rsidR="006816EC" w:rsidRPr="00CD0055" w:rsidRDefault="006816EC">
            <w:pPr>
              <w:bidi w:val="0"/>
              <w:rPr>
                <w:rFonts w:ascii="Arial (W1)" w:hAnsi="Arial (W1)"/>
                <w:b/>
                <w:bCs/>
                <w:noProof w:val="0"/>
                <w:sz w:val="26"/>
                <w:szCs w:val="26"/>
                <w:rtl/>
              </w:rPr>
            </w:pPr>
          </w:p>
          <w:sdt>
            <w:sdtPr>
              <w:rPr>
                <w:rFonts w:hint="cs"/>
                <w:sz w:val="26"/>
                <w:szCs w:val="26"/>
                <w:rtl/>
              </w:rPr>
              <w:alias w:val="1180"/>
              <w:tag w:val="1180"/>
              <w:id w:val="-803768281"/>
              <w:text w:multiLine="1"/>
            </w:sdtPr>
            <w:sdtEndPr/>
            <w:sdtContent>
              <w:p w:rsidR="000215CC" w:rsidRDefault="009E6F96" w:rsidP="00546EB9">
                <w:pPr>
                  <w:rPr>
                    <w:rFonts w:ascii="Arial (W1)" w:hAnsi="Arial (W1)"/>
                    <w:b/>
                    <w:bCs/>
                    <w:noProof w:val="0"/>
                    <w:sz w:val="26"/>
                    <w:szCs w:val="26"/>
                  </w:rPr>
                </w:pPr>
                <w:r>
                  <w:rPr>
                    <w:rFonts w:hint="cs"/>
                    <w:b/>
                    <w:bCs/>
                    <w:noProof w:val="0"/>
                    <w:sz w:val="26"/>
                    <w:szCs w:val="26"/>
                    <w:rtl/>
                  </w:rPr>
                  <w:t xml:space="preserve">    </w:t>
                </w:r>
                <w:r w:rsidR="00546EB9">
                  <w:rPr>
                    <w:rFonts w:hint="cs"/>
                    <w:b/>
                    <w:bCs/>
                    <w:noProof w:val="0"/>
                    <w:sz w:val="26"/>
                    <w:szCs w:val="26"/>
                    <w:rtl/>
                  </w:rPr>
                  <w:t>ה</w:t>
                </w:r>
                <w:r w:rsidR="005F152F">
                  <w:rPr>
                    <w:rFonts w:hint="cs"/>
                    <w:b/>
                    <w:bCs/>
                    <w:noProof w:val="0"/>
                    <w:sz w:val="26"/>
                    <w:szCs w:val="26"/>
                    <w:rtl/>
                  </w:rPr>
                  <w:t>מערער</w:t>
                </w:r>
                <w:r w:rsidR="00546EB9">
                  <w:rPr>
                    <w:rFonts w:hint="cs"/>
                    <w:b/>
                    <w:bCs/>
                    <w:noProof w:val="0"/>
                    <w:sz w:val="26"/>
                    <w:szCs w:val="26"/>
                    <w:rtl/>
                  </w:rPr>
                  <w:t>ות</w:t>
                </w:r>
              </w:p>
            </w:sdtContent>
          </w:sdt>
        </w:tc>
        <w:tc>
          <w:tcPr>
            <w:tcW w:w="5571" w:type="dxa"/>
          </w:tcPr>
          <w:p w:rsidR="006816EC" w:rsidRPr="00CD0055" w:rsidRDefault="006816EC">
            <w:pPr>
              <w:rPr>
                <w:rFonts w:ascii="Arial (W1)" w:hAnsi="Arial (W1)"/>
                <w:b/>
                <w:bCs/>
                <w:noProof w:val="0"/>
                <w:sz w:val="26"/>
                <w:szCs w:val="26"/>
                <w:rtl/>
              </w:rPr>
            </w:pPr>
          </w:p>
          <w:p w:rsidR="006816EC" w:rsidRPr="00665ADE" w:rsidRDefault="008C3796" w:rsidP="00665ADE">
            <w:pPr>
              <w:rPr>
                <w:sz w:val="26"/>
                <w:szCs w:val="26"/>
              </w:rPr>
            </w:pPr>
            <w:sdt>
              <w:sdtPr>
                <w:rPr>
                  <w:rFonts w:hint="cs"/>
                  <w:sz w:val="26"/>
                  <w:szCs w:val="26"/>
                  <w:rtl/>
                </w:rPr>
                <w:alias w:val="1462"/>
                <w:tag w:val="1462"/>
                <w:id w:val="-1143353124"/>
                <w:text w:multiLine="1"/>
              </w:sdtPr>
              <w:sdtEndPr/>
              <w:sdtContent>
                <w:r w:rsidR="00665ADE">
                  <w:rPr>
                    <w:rFonts w:hint="cs"/>
                    <w:b/>
                    <w:bCs/>
                    <w:noProof w:val="0"/>
                    <w:sz w:val="26"/>
                    <w:szCs w:val="26"/>
                    <w:rtl/>
                  </w:rPr>
                  <w:t>1</w:t>
                </w:r>
              </w:sdtContent>
            </w:sdt>
            <w:r w:rsidR="006816EC" w:rsidRPr="00CD0055">
              <w:rPr>
                <w:rFonts w:hint="cs"/>
                <w:b/>
                <w:bCs/>
                <w:noProof w:val="0"/>
                <w:sz w:val="26"/>
                <w:szCs w:val="26"/>
                <w:rtl/>
              </w:rPr>
              <w:t>.</w:t>
            </w:r>
            <w:sdt>
              <w:sdtPr>
                <w:rPr>
                  <w:rFonts w:hint="cs"/>
                  <w:sz w:val="26"/>
                  <w:szCs w:val="26"/>
                  <w:rtl/>
                </w:rPr>
                <w:alias w:val="1478"/>
                <w:tag w:val="1478"/>
                <w:id w:val="160126198"/>
                <w:text w:multiLine="1"/>
              </w:sdtPr>
              <w:sdtEndPr/>
              <w:sdtContent>
                <w:r w:rsidR="001B74D9">
                  <w:rPr>
                    <w:rFonts w:hint="cs"/>
                    <w:sz w:val="26"/>
                    <w:szCs w:val="26"/>
                    <w:rtl/>
                  </w:rPr>
                  <w:t xml:space="preserve"> </w:t>
                </w:r>
                <w:r w:rsidR="001B74D9">
                  <w:rPr>
                    <w:rFonts w:hint="cs"/>
                    <w:b/>
                    <w:bCs/>
                    <w:noProof w:val="0"/>
                    <w:sz w:val="26"/>
                    <w:szCs w:val="26"/>
                    <w:rtl/>
                  </w:rPr>
                  <w:t>אפריקה ישראל מגורים בע"מ</w:t>
                </w:r>
              </w:sdtContent>
            </w:sdt>
          </w:p>
          <w:p w:rsidR="006816EC" w:rsidRPr="00665ADE" w:rsidRDefault="008C3796" w:rsidP="00665ADE">
            <w:pPr>
              <w:rPr>
                <w:sz w:val="26"/>
                <w:szCs w:val="26"/>
              </w:rPr>
            </w:pPr>
            <w:sdt>
              <w:sdtPr>
                <w:rPr>
                  <w:rFonts w:hint="cs"/>
                  <w:sz w:val="26"/>
                  <w:szCs w:val="26"/>
                  <w:rtl/>
                </w:rPr>
                <w:alias w:val="1462"/>
                <w:tag w:val="1462"/>
                <w:id w:val="118113505"/>
                <w:text w:multiLine="1"/>
              </w:sdtPr>
              <w:sdtEndPr/>
              <w:sdtContent>
                <w:r w:rsidR="00665ADE">
                  <w:rPr>
                    <w:rFonts w:hint="cs"/>
                    <w:b/>
                    <w:bCs/>
                    <w:noProof w:val="0"/>
                    <w:sz w:val="26"/>
                    <w:szCs w:val="26"/>
                    <w:rtl/>
                  </w:rPr>
                  <w:t>2</w:t>
                </w:r>
              </w:sdtContent>
            </w:sdt>
            <w:r w:rsidR="006816EC" w:rsidRPr="00CD0055">
              <w:rPr>
                <w:rFonts w:hint="cs"/>
                <w:b/>
                <w:bCs/>
                <w:noProof w:val="0"/>
                <w:sz w:val="26"/>
                <w:szCs w:val="26"/>
                <w:rtl/>
              </w:rPr>
              <w:t>.</w:t>
            </w:r>
            <w:r w:rsidR="009E6F96">
              <w:rPr>
                <w:rFonts w:hint="cs"/>
                <w:sz w:val="26"/>
                <w:szCs w:val="26"/>
                <w:rtl/>
              </w:rPr>
              <w:t xml:space="preserve"> </w:t>
            </w:r>
            <w:sdt>
              <w:sdtPr>
                <w:rPr>
                  <w:rFonts w:hint="cs"/>
                  <w:sz w:val="26"/>
                  <w:szCs w:val="26"/>
                  <w:rtl/>
                </w:rPr>
                <w:alias w:val="1478"/>
                <w:tag w:val="1478"/>
                <w:id w:val="1624121440"/>
                <w:text w:multiLine="1"/>
              </w:sdtPr>
              <w:sdtEndPr/>
              <w:sdtContent>
                <w:r w:rsidR="00665ADE">
                  <w:rPr>
                    <w:rFonts w:hint="cs"/>
                    <w:b/>
                    <w:bCs/>
                    <w:noProof w:val="0"/>
                    <w:sz w:val="26"/>
                    <w:szCs w:val="26"/>
                    <w:rtl/>
                  </w:rPr>
                  <w:t>קרן הגמלאות המרכזית של עובדי ההסתדרות בע</w:t>
                </w:r>
                <w:r w:rsidR="000A08A2">
                  <w:rPr>
                    <w:rFonts w:hint="cs"/>
                    <w:b/>
                    <w:bCs/>
                    <w:noProof w:val="0"/>
                    <w:sz w:val="26"/>
                    <w:szCs w:val="26"/>
                    <w:rtl/>
                  </w:rPr>
                  <w:t>"</w:t>
                </w:r>
                <w:r w:rsidR="00665ADE">
                  <w:rPr>
                    <w:rFonts w:hint="cs"/>
                    <w:b/>
                    <w:bCs/>
                    <w:noProof w:val="0"/>
                    <w:sz w:val="26"/>
                    <w:szCs w:val="26"/>
                    <w:rtl/>
                  </w:rPr>
                  <w:t>מ</w:t>
                </w:r>
              </w:sdtContent>
            </w:sdt>
          </w:p>
          <w:p w:rsidR="006816EC" w:rsidRPr="00665ADE" w:rsidRDefault="008C3796" w:rsidP="00665ADE">
            <w:pPr>
              <w:rPr>
                <w:sz w:val="26"/>
                <w:szCs w:val="26"/>
              </w:rPr>
            </w:pPr>
            <w:sdt>
              <w:sdtPr>
                <w:rPr>
                  <w:rFonts w:hint="cs"/>
                  <w:sz w:val="26"/>
                  <w:szCs w:val="26"/>
                  <w:rtl/>
                </w:rPr>
                <w:alias w:val="1462"/>
                <w:tag w:val="1462"/>
                <w:id w:val="-98502073"/>
                <w:text w:multiLine="1"/>
              </w:sdtPr>
              <w:sdtEndPr/>
              <w:sdtContent>
                <w:r w:rsidR="00665ADE">
                  <w:rPr>
                    <w:rFonts w:hint="cs"/>
                    <w:b/>
                    <w:bCs/>
                    <w:noProof w:val="0"/>
                    <w:sz w:val="26"/>
                    <w:szCs w:val="26"/>
                    <w:rtl/>
                  </w:rPr>
                  <w:t>3</w:t>
                </w:r>
              </w:sdtContent>
            </w:sdt>
            <w:r w:rsidR="006816EC" w:rsidRPr="00CD0055">
              <w:rPr>
                <w:rFonts w:hint="cs"/>
                <w:b/>
                <w:bCs/>
                <w:noProof w:val="0"/>
                <w:sz w:val="26"/>
                <w:szCs w:val="26"/>
                <w:rtl/>
              </w:rPr>
              <w:t>.</w:t>
            </w:r>
            <w:sdt>
              <w:sdtPr>
                <w:rPr>
                  <w:rFonts w:hint="cs"/>
                  <w:sz w:val="26"/>
                  <w:szCs w:val="26"/>
                  <w:rtl/>
                </w:rPr>
                <w:alias w:val="1478"/>
                <w:tag w:val="1478"/>
                <w:id w:val="-279337664"/>
                <w:text w:multiLine="1"/>
              </w:sdtPr>
              <w:sdtEndPr/>
              <w:sdtContent>
                <w:r w:rsidR="009E6F96">
                  <w:rPr>
                    <w:rFonts w:hint="cs"/>
                    <w:sz w:val="26"/>
                    <w:szCs w:val="26"/>
                    <w:rtl/>
                  </w:rPr>
                  <w:t xml:space="preserve"> </w:t>
                </w:r>
                <w:r w:rsidR="00665ADE">
                  <w:rPr>
                    <w:rFonts w:hint="cs"/>
                    <w:b/>
                    <w:bCs/>
                    <w:noProof w:val="0"/>
                    <w:sz w:val="26"/>
                    <w:szCs w:val="26"/>
                    <w:rtl/>
                  </w:rPr>
                  <w:t>אפרירם בע"מ</w:t>
                </w:r>
              </w:sdtContent>
            </w:sdt>
          </w:p>
          <w:p w:rsidR="006816EC" w:rsidRPr="00665ADE" w:rsidRDefault="008C3796" w:rsidP="00665ADE">
            <w:pPr>
              <w:rPr>
                <w:sz w:val="26"/>
                <w:szCs w:val="26"/>
              </w:rPr>
            </w:pPr>
            <w:sdt>
              <w:sdtPr>
                <w:rPr>
                  <w:rFonts w:hint="cs"/>
                  <w:sz w:val="26"/>
                  <w:szCs w:val="26"/>
                  <w:rtl/>
                </w:rPr>
                <w:alias w:val="1462"/>
                <w:tag w:val="1462"/>
                <w:id w:val="-1663078153"/>
                <w:text w:multiLine="1"/>
              </w:sdtPr>
              <w:sdtEndPr/>
              <w:sdtContent>
                <w:r w:rsidR="00665ADE">
                  <w:rPr>
                    <w:rFonts w:hint="cs"/>
                    <w:b/>
                    <w:bCs/>
                    <w:noProof w:val="0"/>
                    <w:sz w:val="26"/>
                    <w:szCs w:val="26"/>
                    <w:rtl/>
                  </w:rPr>
                  <w:t>4</w:t>
                </w:r>
              </w:sdtContent>
            </w:sdt>
            <w:r w:rsidR="006816EC" w:rsidRPr="00CD0055">
              <w:rPr>
                <w:rFonts w:hint="cs"/>
                <w:b/>
                <w:bCs/>
                <w:noProof w:val="0"/>
                <w:sz w:val="26"/>
                <w:szCs w:val="26"/>
                <w:rtl/>
              </w:rPr>
              <w:t>.</w:t>
            </w:r>
            <w:sdt>
              <w:sdtPr>
                <w:rPr>
                  <w:rFonts w:hint="cs"/>
                  <w:sz w:val="26"/>
                  <w:szCs w:val="26"/>
                  <w:rtl/>
                </w:rPr>
                <w:alias w:val="1478"/>
                <w:tag w:val="1478"/>
                <w:id w:val="-1800597718"/>
                <w:text w:multiLine="1"/>
              </w:sdtPr>
              <w:sdtEndPr/>
              <w:sdtContent>
                <w:r w:rsidR="009E6F96">
                  <w:rPr>
                    <w:rFonts w:hint="cs"/>
                    <w:b/>
                    <w:bCs/>
                    <w:noProof w:val="0"/>
                    <w:sz w:val="26"/>
                    <w:szCs w:val="26"/>
                    <w:rtl/>
                  </w:rPr>
                  <w:t xml:space="preserve"> </w:t>
                </w:r>
                <w:r w:rsidR="00665ADE">
                  <w:rPr>
                    <w:rFonts w:hint="cs"/>
                    <w:b/>
                    <w:bCs/>
                    <w:noProof w:val="0"/>
                    <w:sz w:val="26"/>
                    <w:szCs w:val="26"/>
                    <w:rtl/>
                  </w:rPr>
                  <w:t>מגדלי סומייל בע"מ</w:t>
                </w:r>
              </w:sdtContent>
            </w:sdt>
          </w:p>
          <w:p w:rsidR="006816EC" w:rsidRPr="00665ADE" w:rsidRDefault="008C3796" w:rsidP="000A08A2">
            <w:pPr>
              <w:rPr>
                <w:sz w:val="26"/>
                <w:szCs w:val="26"/>
              </w:rPr>
            </w:pPr>
            <w:sdt>
              <w:sdtPr>
                <w:rPr>
                  <w:rFonts w:hint="cs"/>
                  <w:sz w:val="26"/>
                  <w:szCs w:val="26"/>
                  <w:rtl/>
                </w:rPr>
                <w:alias w:val="1462"/>
                <w:tag w:val="1462"/>
                <w:id w:val="-1750571520"/>
                <w:text w:multiLine="1"/>
              </w:sdtPr>
              <w:sdtEndPr/>
              <w:sdtContent>
                <w:r w:rsidR="00665ADE">
                  <w:rPr>
                    <w:rFonts w:hint="cs"/>
                    <w:b/>
                    <w:bCs/>
                    <w:noProof w:val="0"/>
                    <w:sz w:val="26"/>
                    <w:szCs w:val="26"/>
                    <w:rtl/>
                  </w:rPr>
                  <w:t>5</w:t>
                </w:r>
              </w:sdtContent>
            </w:sdt>
            <w:r w:rsidR="006816EC" w:rsidRPr="00CD0055">
              <w:rPr>
                <w:rFonts w:hint="cs"/>
                <w:b/>
                <w:bCs/>
                <w:noProof w:val="0"/>
                <w:sz w:val="26"/>
                <w:szCs w:val="26"/>
                <w:rtl/>
              </w:rPr>
              <w:t>.</w:t>
            </w:r>
            <w:sdt>
              <w:sdtPr>
                <w:rPr>
                  <w:rFonts w:hint="cs"/>
                  <w:sz w:val="26"/>
                  <w:szCs w:val="26"/>
                  <w:rtl/>
                </w:rPr>
                <w:alias w:val="1478"/>
                <w:tag w:val="1478"/>
                <w:id w:val="-771008429"/>
                <w:text w:multiLine="1"/>
              </w:sdtPr>
              <w:sdtEndPr/>
              <w:sdtContent>
                <w:r w:rsidR="009E6F96">
                  <w:rPr>
                    <w:rFonts w:hint="cs"/>
                    <w:b/>
                    <w:bCs/>
                    <w:noProof w:val="0"/>
                    <w:sz w:val="26"/>
                    <w:szCs w:val="26"/>
                    <w:rtl/>
                  </w:rPr>
                  <w:t xml:space="preserve"> </w:t>
                </w:r>
                <w:r w:rsidR="00665ADE">
                  <w:rPr>
                    <w:rFonts w:hint="cs"/>
                    <w:b/>
                    <w:bCs/>
                    <w:noProof w:val="0"/>
                    <w:sz w:val="26"/>
                    <w:szCs w:val="26"/>
                    <w:rtl/>
                  </w:rPr>
                  <w:t>רמ-נח בע"מ</w:t>
                </w:r>
              </w:sdtContent>
            </w:sdt>
          </w:p>
        </w:tc>
      </w:tr>
      <w:tr w:rsidR="006816EC" w:rsidRPr="00CD0055" w:rsidTr="006816EC">
        <w:trPr>
          <w:jc w:val="center"/>
        </w:trPr>
        <w:tc>
          <w:tcPr>
            <w:tcW w:w="8820" w:type="dxa"/>
            <w:gridSpan w:val="3"/>
          </w:tcPr>
          <w:p w:rsidR="006816EC" w:rsidRDefault="006816EC">
            <w:pPr>
              <w:rPr>
                <w:rFonts w:ascii="Arial (W1)" w:hAnsi="Arial (W1)"/>
                <w:b/>
                <w:bCs/>
                <w:noProof w:val="0"/>
                <w:sz w:val="26"/>
                <w:szCs w:val="26"/>
                <w:rtl/>
              </w:rPr>
            </w:pPr>
          </w:p>
          <w:p w:rsidR="00A156E6" w:rsidRPr="00CD0055" w:rsidRDefault="00A156E6">
            <w:pPr>
              <w:rPr>
                <w:rFonts w:ascii="Arial (W1)" w:hAnsi="Arial (W1)"/>
                <w:b/>
                <w:bCs/>
                <w:noProof w:val="0"/>
                <w:sz w:val="26"/>
                <w:szCs w:val="26"/>
                <w:rtl/>
              </w:rPr>
            </w:pPr>
          </w:p>
          <w:p w:rsidR="006816EC" w:rsidRPr="00CD0055" w:rsidRDefault="006816EC">
            <w:pPr>
              <w:jc w:val="center"/>
              <w:rPr>
                <w:b/>
                <w:bCs/>
                <w:noProof w:val="0"/>
                <w:sz w:val="26"/>
                <w:szCs w:val="26"/>
                <w:rtl/>
              </w:rPr>
            </w:pPr>
            <w:r w:rsidRPr="00CD0055">
              <w:rPr>
                <w:rFonts w:hint="cs"/>
                <w:b/>
                <w:bCs/>
                <w:noProof w:val="0"/>
                <w:sz w:val="26"/>
                <w:szCs w:val="26"/>
                <w:rtl/>
              </w:rPr>
              <w:t>נגד</w:t>
            </w:r>
          </w:p>
          <w:p w:rsidR="006816EC" w:rsidRPr="00CD0055" w:rsidRDefault="006816EC">
            <w:pPr>
              <w:rPr>
                <w:rFonts w:ascii="Arial (W1)" w:hAnsi="Arial (W1)"/>
                <w:b/>
                <w:bCs/>
                <w:noProof w:val="0"/>
                <w:sz w:val="26"/>
                <w:szCs w:val="26"/>
              </w:rPr>
            </w:pPr>
          </w:p>
        </w:tc>
      </w:tr>
      <w:tr w:rsidR="006816EC" w:rsidRPr="00CD0055" w:rsidTr="006816EC">
        <w:trPr>
          <w:jc w:val="center"/>
        </w:trPr>
        <w:tc>
          <w:tcPr>
            <w:tcW w:w="3249" w:type="dxa"/>
            <w:gridSpan w:val="2"/>
          </w:tcPr>
          <w:p w:rsidR="006816EC" w:rsidRPr="00CD0055" w:rsidRDefault="006816EC">
            <w:pPr>
              <w:rPr>
                <w:rFonts w:ascii="Arial (W1)" w:hAnsi="Arial (W1)"/>
                <w:b/>
                <w:bCs/>
                <w:noProof w:val="0"/>
                <w:sz w:val="26"/>
                <w:szCs w:val="26"/>
                <w:rtl/>
              </w:rPr>
            </w:pPr>
          </w:p>
          <w:p w:rsidR="006816EC" w:rsidRPr="00CD0055" w:rsidRDefault="008C3796" w:rsidP="00546EB9">
            <w:pPr>
              <w:rPr>
                <w:rFonts w:ascii="Arial (W1)" w:hAnsi="Arial (W1)"/>
                <w:b/>
                <w:bCs/>
                <w:noProof w:val="0"/>
                <w:sz w:val="26"/>
                <w:szCs w:val="26"/>
              </w:rPr>
            </w:pPr>
            <w:sdt>
              <w:sdtPr>
                <w:rPr>
                  <w:rFonts w:hint="cs"/>
                  <w:sz w:val="26"/>
                  <w:szCs w:val="26"/>
                  <w:rtl/>
                </w:rPr>
                <w:alias w:val="1184"/>
                <w:tag w:val="1184"/>
                <w:id w:val="-910234160"/>
                <w:text w:multiLine="1"/>
              </w:sdtPr>
              <w:sdtEndPr/>
              <w:sdtContent>
                <w:r w:rsidR="009E6F96">
                  <w:rPr>
                    <w:rFonts w:hint="cs"/>
                    <w:b/>
                    <w:bCs/>
                    <w:noProof w:val="0"/>
                    <w:sz w:val="26"/>
                    <w:szCs w:val="26"/>
                    <w:rtl/>
                  </w:rPr>
                  <w:t xml:space="preserve">   </w:t>
                </w:r>
                <w:r w:rsidR="00546EB9">
                  <w:rPr>
                    <w:rFonts w:hint="cs"/>
                    <w:b/>
                    <w:bCs/>
                    <w:noProof w:val="0"/>
                    <w:sz w:val="26"/>
                    <w:szCs w:val="26"/>
                    <w:rtl/>
                  </w:rPr>
                  <w:t>ה</w:t>
                </w:r>
                <w:r w:rsidR="00665ADE">
                  <w:rPr>
                    <w:rFonts w:hint="cs"/>
                    <w:b/>
                    <w:bCs/>
                    <w:noProof w:val="0"/>
                    <w:sz w:val="26"/>
                    <w:szCs w:val="26"/>
                    <w:rtl/>
                  </w:rPr>
                  <w:t>משיב</w:t>
                </w:r>
                <w:r w:rsidR="00546EB9">
                  <w:rPr>
                    <w:rFonts w:hint="cs"/>
                    <w:b/>
                    <w:bCs/>
                    <w:noProof w:val="0"/>
                    <w:sz w:val="26"/>
                    <w:szCs w:val="26"/>
                    <w:rtl/>
                  </w:rPr>
                  <w:t>ה</w:t>
                </w:r>
              </w:sdtContent>
            </w:sdt>
          </w:p>
        </w:tc>
        <w:tc>
          <w:tcPr>
            <w:tcW w:w="5571" w:type="dxa"/>
          </w:tcPr>
          <w:p w:rsidR="006816EC" w:rsidRPr="00CD0055" w:rsidRDefault="006816EC">
            <w:pPr>
              <w:rPr>
                <w:rFonts w:ascii="Arial (W1)" w:hAnsi="Arial (W1)"/>
                <w:b/>
                <w:bCs/>
                <w:noProof w:val="0"/>
                <w:sz w:val="26"/>
                <w:szCs w:val="26"/>
                <w:rtl/>
              </w:rPr>
            </w:pPr>
          </w:p>
          <w:p w:rsidR="006816EC" w:rsidRPr="00665ADE" w:rsidRDefault="008C3796" w:rsidP="00665ADE">
            <w:pPr>
              <w:rPr>
                <w:sz w:val="26"/>
                <w:szCs w:val="26"/>
              </w:rPr>
            </w:pPr>
            <w:sdt>
              <w:sdtPr>
                <w:rPr>
                  <w:rFonts w:hint="cs"/>
                  <w:sz w:val="26"/>
                  <w:szCs w:val="26"/>
                  <w:rtl/>
                </w:rPr>
                <w:alias w:val="1486"/>
                <w:tag w:val="1486"/>
                <w:id w:val="1487590763"/>
                <w:text w:multiLine="1"/>
              </w:sdtPr>
              <w:sdtEndPr/>
              <w:sdtContent>
                <w:r w:rsidR="000A08A2">
                  <w:rPr>
                    <w:rFonts w:hint="cs"/>
                    <w:b/>
                    <w:bCs/>
                    <w:noProof w:val="0"/>
                    <w:sz w:val="26"/>
                    <w:szCs w:val="26"/>
                    <w:rtl/>
                  </w:rPr>
                  <w:t>הו</w:t>
                </w:r>
                <w:r w:rsidR="00665ADE">
                  <w:rPr>
                    <w:rFonts w:hint="cs"/>
                    <w:b/>
                    <w:bCs/>
                    <w:noProof w:val="0"/>
                    <w:sz w:val="26"/>
                    <w:szCs w:val="26"/>
                    <w:rtl/>
                  </w:rPr>
                  <w:t>ועדה מקומית לתכנון ו</w:t>
                </w:r>
                <w:r w:rsidR="000A08A2">
                  <w:rPr>
                    <w:rFonts w:hint="cs"/>
                    <w:b/>
                    <w:bCs/>
                    <w:noProof w:val="0"/>
                    <w:sz w:val="26"/>
                    <w:szCs w:val="26"/>
                    <w:rtl/>
                  </w:rPr>
                  <w:t>ל</w:t>
                </w:r>
                <w:r w:rsidR="00665ADE">
                  <w:rPr>
                    <w:rFonts w:hint="cs"/>
                    <w:b/>
                    <w:bCs/>
                    <w:noProof w:val="0"/>
                    <w:sz w:val="26"/>
                    <w:szCs w:val="26"/>
                    <w:rtl/>
                  </w:rPr>
                  <w:t>בניה תל אביב</w:t>
                </w:r>
              </w:sdtContent>
            </w:sdt>
          </w:p>
        </w:tc>
      </w:tr>
    </w:tbl>
    <w:p w:rsidR="009E6F96" w:rsidRPr="000A08A2" w:rsidRDefault="009E6F96" w:rsidP="009E6F96">
      <w:pPr>
        <w:spacing w:line="360" w:lineRule="auto"/>
        <w:jc w:val="both"/>
        <w:rPr>
          <w:rFonts w:ascii="Arial (W1)" w:hAnsi="Arial (W1)"/>
          <w:sz w:val="28"/>
          <w:szCs w:val="28"/>
          <w:rtl/>
        </w:rPr>
      </w:pPr>
    </w:p>
    <w:p w:rsidR="009E6F96" w:rsidRPr="009E6F96" w:rsidRDefault="009E6F96" w:rsidP="00244BC0">
      <w:pPr>
        <w:spacing w:line="360" w:lineRule="auto"/>
        <w:jc w:val="both"/>
        <w:rPr>
          <w:rFonts w:ascii="Arial" w:hAnsi="Arial"/>
          <w:noProof w:val="0"/>
          <w:rtl/>
        </w:rPr>
      </w:pPr>
      <w:r w:rsidRPr="009E6F96">
        <w:rPr>
          <w:rFonts w:ascii="Arial" w:hAnsi="Arial" w:hint="cs"/>
          <w:b/>
          <w:bCs/>
          <w:noProof w:val="0"/>
          <w:rtl/>
        </w:rPr>
        <w:t>המערערות</w:t>
      </w:r>
      <w:r w:rsidRPr="009E6F96">
        <w:rPr>
          <w:rFonts w:ascii="Arial" w:hAnsi="Arial" w:hint="cs"/>
          <w:noProof w:val="0"/>
          <w:rtl/>
        </w:rPr>
        <w:t xml:space="preserve"> </w:t>
      </w:r>
      <w:r>
        <w:rPr>
          <w:rFonts w:ascii="Arial" w:hAnsi="Arial" w:hint="cs"/>
          <w:noProof w:val="0"/>
          <w:rtl/>
        </w:rPr>
        <w:t>-</w:t>
      </w:r>
      <w:r w:rsidRPr="009E6F96">
        <w:rPr>
          <w:rFonts w:ascii="Arial" w:hAnsi="Arial" w:hint="cs"/>
          <w:noProof w:val="0"/>
          <w:rtl/>
        </w:rPr>
        <w:t xml:space="preserve"> על ידי עו"ד </w:t>
      </w:r>
      <w:r w:rsidR="00244BC0">
        <w:rPr>
          <w:rFonts w:ascii="Arial" w:hAnsi="Arial" w:hint="cs"/>
          <w:noProof w:val="0"/>
          <w:rtl/>
        </w:rPr>
        <w:t>שמואל שוב, עו"ד הילה לביא-יתים ועו"ד ליאור קיל;</w:t>
      </w:r>
    </w:p>
    <w:p w:rsidR="009E6F96" w:rsidRDefault="009E6F96" w:rsidP="009E6F96">
      <w:pPr>
        <w:spacing w:line="360" w:lineRule="auto"/>
        <w:jc w:val="both"/>
        <w:rPr>
          <w:rFonts w:ascii="Arial" w:hAnsi="Arial"/>
          <w:noProof w:val="0"/>
          <w:rtl/>
        </w:rPr>
      </w:pPr>
      <w:r w:rsidRPr="009E6F96">
        <w:rPr>
          <w:rFonts w:ascii="Arial" w:hAnsi="Arial" w:hint="cs"/>
          <w:b/>
          <w:bCs/>
          <w:noProof w:val="0"/>
          <w:rtl/>
        </w:rPr>
        <w:t>המשיבה</w:t>
      </w:r>
      <w:r w:rsidRPr="009E6F96">
        <w:rPr>
          <w:rFonts w:ascii="Arial" w:hAnsi="Arial" w:hint="cs"/>
          <w:noProof w:val="0"/>
          <w:rtl/>
        </w:rPr>
        <w:t xml:space="preserve"> </w:t>
      </w:r>
      <w:r>
        <w:rPr>
          <w:rFonts w:ascii="Arial" w:hAnsi="Arial" w:hint="cs"/>
          <w:noProof w:val="0"/>
          <w:rtl/>
        </w:rPr>
        <w:t>-</w:t>
      </w:r>
      <w:r w:rsidRPr="009E6F96">
        <w:rPr>
          <w:rFonts w:ascii="Arial" w:hAnsi="Arial" w:hint="cs"/>
          <w:noProof w:val="0"/>
          <w:rtl/>
        </w:rPr>
        <w:t xml:space="preserve"> על ידי עו"ד מיכל דיק.</w:t>
      </w:r>
    </w:p>
    <w:p w:rsidR="009E6F96" w:rsidRPr="009E6F96" w:rsidRDefault="009E6F96" w:rsidP="009E6F96">
      <w:pPr>
        <w:spacing w:line="360" w:lineRule="auto"/>
        <w:jc w:val="both"/>
        <w:rPr>
          <w:rFonts w:ascii="Arial" w:hAnsi="Arial"/>
          <w:noProof w:val="0"/>
          <w:rtl/>
        </w:rPr>
      </w:pPr>
    </w:p>
    <w:p w:rsidR="009E6F96" w:rsidRPr="008A4FDA" w:rsidRDefault="009E6F96" w:rsidP="009E6F96">
      <w:pPr>
        <w:spacing w:line="360" w:lineRule="auto"/>
        <w:jc w:val="center"/>
        <w:rPr>
          <w:rFonts w:ascii="Arial" w:hAnsi="Arial"/>
          <w:noProof w:val="0"/>
          <w:sz w:val="32"/>
          <w:szCs w:val="32"/>
          <w:rtl/>
        </w:rPr>
      </w:pPr>
      <w:r w:rsidRPr="008A4FDA">
        <w:rPr>
          <w:rFonts w:ascii="Arial" w:hAnsi="Arial"/>
          <w:b/>
          <w:bCs/>
          <w:noProof w:val="0"/>
          <w:sz w:val="32"/>
          <w:szCs w:val="32"/>
          <w:u w:val="single"/>
          <w:rtl/>
        </w:rPr>
        <w:t>פסק דין</w:t>
      </w:r>
    </w:p>
    <w:p w:rsidR="00546EB9" w:rsidRPr="00546EB9" w:rsidRDefault="00546EB9" w:rsidP="001A570D">
      <w:pPr>
        <w:spacing w:after="120" w:line="360" w:lineRule="auto"/>
        <w:jc w:val="both"/>
        <w:rPr>
          <w:rFonts w:ascii="Arial" w:hAnsi="Arial"/>
          <w:b/>
          <w:bCs/>
          <w:noProof w:val="0"/>
          <w:u w:val="single"/>
          <w:rtl/>
        </w:rPr>
      </w:pPr>
      <w:r w:rsidRPr="00546EB9">
        <w:rPr>
          <w:rFonts w:ascii="Arial" w:hAnsi="Arial" w:hint="cs"/>
          <w:b/>
          <w:bCs/>
          <w:noProof w:val="0"/>
          <w:u w:val="single"/>
          <w:rtl/>
        </w:rPr>
        <w:t>רקע</w:t>
      </w:r>
    </w:p>
    <w:p w:rsidR="00C97F94" w:rsidRDefault="00B57B9C" w:rsidP="001A570D">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המערערות הינן בעלות הזכויות</w:t>
      </w:r>
      <w:r w:rsidR="00C97F94">
        <w:rPr>
          <w:rFonts w:ascii="Arial" w:hAnsi="Arial" w:hint="cs"/>
          <w:noProof w:val="0"/>
          <w:rtl/>
        </w:rPr>
        <w:t xml:space="preserve"> במקרקעין הידועים כגוש 6213 חלקות 25-26 ברחוב בן סרוק 3 בתל אביב (להלן: </w:t>
      </w:r>
      <w:r w:rsidR="00C97F94" w:rsidRPr="008A787F">
        <w:rPr>
          <w:rFonts w:ascii="Arial" w:hAnsi="Arial" w:hint="cs"/>
          <w:b/>
          <w:bCs/>
          <w:noProof w:val="0"/>
          <w:rtl/>
        </w:rPr>
        <w:t>"המקרקעין"</w:t>
      </w:r>
      <w:r w:rsidR="00C97F94">
        <w:rPr>
          <w:rFonts w:ascii="Arial" w:hAnsi="Arial" w:hint="cs"/>
          <w:noProof w:val="0"/>
          <w:rtl/>
        </w:rPr>
        <w:t>). אין מחלוקת כי בתקופה שבין 31.12.2010 ועד ליום 9.9.2017 פעל במקרקעין חניון.</w:t>
      </w:r>
    </w:p>
    <w:p w:rsidR="00C97F94" w:rsidRDefault="00C97F94" w:rsidP="001A570D">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ביום 4.2.2015 הגישה חברת מ.ד ייעוץ ניהול ושירותים בע"מ בקשה לשימוש חורג מתכנית לחניון לא מקורה בן 306 מקומות חניה. ביום 16.9.2015 החליטה המשיבה לאש</w:t>
      </w:r>
      <w:r w:rsidR="008A787F">
        <w:rPr>
          <w:rFonts w:ascii="Arial" w:hAnsi="Arial" w:hint="cs"/>
          <w:noProof w:val="0"/>
          <w:rtl/>
        </w:rPr>
        <w:t xml:space="preserve">ר </w:t>
      </w:r>
      <w:r w:rsidR="008A4FDA">
        <w:rPr>
          <w:rFonts w:ascii="Arial" w:hAnsi="Arial" w:hint="cs"/>
          <w:noProof w:val="0"/>
          <w:rtl/>
        </w:rPr>
        <w:t>את ה</w:t>
      </w:r>
      <w:r w:rsidR="008A787F">
        <w:rPr>
          <w:rFonts w:ascii="Arial" w:hAnsi="Arial" w:hint="cs"/>
          <w:noProof w:val="0"/>
          <w:rtl/>
        </w:rPr>
        <w:t>שימוש חורג עד ליום 31.12.2018</w:t>
      </w:r>
      <w:r>
        <w:rPr>
          <w:rFonts w:ascii="Arial" w:hAnsi="Arial" w:hint="cs"/>
          <w:noProof w:val="0"/>
          <w:rtl/>
        </w:rPr>
        <w:t>, ולאחר מכן תוקנה תקופת השימוש החורג עד ליום 9.9.2017.</w:t>
      </w:r>
    </w:p>
    <w:p w:rsidR="00DB5D3A" w:rsidRDefault="00C97F94" w:rsidP="001A570D">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ביום 11.</w:t>
      </w:r>
      <w:r w:rsidR="00DB5D3A">
        <w:rPr>
          <w:rFonts w:ascii="Arial" w:hAnsi="Arial" w:hint="cs"/>
          <w:noProof w:val="0"/>
          <w:rtl/>
        </w:rPr>
        <w:t xml:space="preserve">11.2016, קיימה המשיבה דיון נוסף בבקשה </w:t>
      </w:r>
      <w:r w:rsidR="00DB5D3A" w:rsidRPr="008A787F">
        <w:rPr>
          <w:rFonts w:ascii="Arial" w:hAnsi="Arial" w:hint="cs"/>
          <w:b/>
          <w:bCs/>
          <w:noProof w:val="0"/>
          <w:rtl/>
        </w:rPr>
        <w:t>וזאת ללא בקשה של מבקש ההיתר או הבעלים</w:t>
      </w:r>
      <w:r w:rsidR="008A4FDA">
        <w:rPr>
          <w:rFonts w:ascii="Arial" w:hAnsi="Arial" w:hint="cs"/>
          <w:b/>
          <w:bCs/>
          <w:noProof w:val="0"/>
          <w:rtl/>
        </w:rPr>
        <w:t xml:space="preserve"> </w:t>
      </w:r>
      <w:r w:rsidR="008A4FDA" w:rsidRPr="008A4FDA">
        <w:rPr>
          <w:rFonts w:ascii="Arial" w:hAnsi="Arial" w:hint="cs"/>
          <w:noProof w:val="0"/>
          <w:rtl/>
        </w:rPr>
        <w:t>לקיים דיון שכזה</w:t>
      </w:r>
      <w:r w:rsidR="00DB5D3A">
        <w:rPr>
          <w:rFonts w:ascii="Arial" w:hAnsi="Arial" w:hint="cs"/>
          <w:noProof w:val="0"/>
          <w:rtl/>
        </w:rPr>
        <w:t>. בסיומו של הדיון החליטה המשיבה:</w:t>
      </w:r>
    </w:p>
    <w:p w:rsidR="00694556" w:rsidRPr="00DB5D3A" w:rsidRDefault="00DB5D3A" w:rsidP="008A787F">
      <w:pPr>
        <w:pStyle w:val="ad"/>
        <w:spacing w:after="120" w:line="360" w:lineRule="auto"/>
        <w:ind w:left="1219" w:right="426"/>
        <w:contextualSpacing w:val="0"/>
        <w:jc w:val="both"/>
        <w:rPr>
          <w:rFonts w:ascii="Arial" w:hAnsi="Arial"/>
          <w:b/>
          <w:bCs/>
          <w:noProof w:val="0"/>
          <w:rtl/>
        </w:rPr>
      </w:pPr>
      <w:r w:rsidRPr="00DB5D3A">
        <w:rPr>
          <w:rFonts w:ascii="Arial" w:hAnsi="Arial" w:hint="cs"/>
          <w:b/>
          <w:bCs/>
          <w:noProof w:val="0"/>
          <w:rtl/>
        </w:rPr>
        <w:t>"לאשר את הבקשה לשימוש חורג מיום 31</w:t>
      </w:r>
      <w:r w:rsidR="008A787F">
        <w:rPr>
          <w:rFonts w:ascii="Arial" w:hAnsi="Arial" w:hint="cs"/>
          <w:b/>
          <w:bCs/>
          <w:noProof w:val="0"/>
          <w:rtl/>
        </w:rPr>
        <w:t>.</w:t>
      </w:r>
      <w:r w:rsidRPr="00DB5D3A">
        <w:rPr>
          <w:rFonts w:ascii="Arial" w:hAnsi="Arial" w:hint="cs"/>
          <w:b/>
          <w:bCs/>
          <w:noProof w:val="0"/>
          <w:rtl/>
        </w:rPr>
        <w:t>12.2010 ועד ליום 9.9.2017, בכפוף לדרישות מהנדס העיר".</w:t>
      </w:r>
      <w:r w:rsidR="00C97F94" w:rsidRPr="00DB5D3A">
        <w:rPr>
          <w:rFonts w:ascii="Arial" w:hAnsi="Arial" w:hint="cs"/>
          <w:b/>
          <w:bCs/>
          <w:noProof w:val="0"/>
          <w:rtl/>
        </w:rPr>
        <w:t xml:space="preserve"> </w:t>
      </w:r>
    </w:p>
    <w:p w:rsidR="00694556" w:rsidRDefault="005F152F" w:rsidP="008A787F">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לאור החלטה זו של המשיבה נערכה על ידי שמאי המשיבה שומת היטל השבחה למלוא התקופה, כלומר מיום 31.12.20</w:t>
      </w:r>
      <w:r w:rsidR="008A787F">
        <w:rPr>
          <w:rFonts w:ascii="Arial" w:hAnsi="Arial" w:hint="cs"/>
          <w:noProof w:val="0"/>
          <w:rtl/>
        </w:rPr>
        <w:t>10</w:t>
      </w:r>
      <w:r>
        <w:rPr>
          <w:rFonts w:ascii="Arial" w:hAnsi="Arial" w:hint="cs"/>
          <w:noProof w:val="0"/>
          <w:rtl/>
        </w:rPr>
        <w:t xml:space="preserve"> ועד ליום 9.9.2017 על סך של 6,285,000 ₪. </w:t>
      </w:r>
    </w:p>
    <w:p w:rsidR="005F152F" w:rsidRDefault="005F152F" w:rsidP="008A787F">
      <w:pPr>
        <w:pStyle w:val="ad"/>
        <w:spacing w:after="120" w:line="360" w:lineRule="auto"/>
        <w:ind w:left="510"/>
        <w:contextualSpacing w:val="0"/>
        <w:jc w:val="both"/>
        <w:rPr>
          <w:rFonts w:ascii="Arial" w:hAnsi="Arial"/>
          <w:noProof w:val="0"/>
          <w:rtl/>
        </w:rPr>
      </w:pPr>
      <w:r>
        <w:rPr>
          <w:rFonts w:ascii="Arial" w:hAnsi="Arial" w:hint="cs"/>
          <w:noProof w:val="0"/>
          <w:rtl/>
        </w:rPr>
        <w:lastRenderedPageBreak/>
        <w:t xml:space="preserve">אציין כי </w:t>
      </w:r>
      <w:r w:rsidR="00BC5EF9">
        <w:rPr>
          <w:rFonts w:ascii="Arial" w:hAnsi="Arial" w:hint="cs"/>
          <w:noProof w:val="0"/>
          <w:rtl/>
        </w:rPr>
        <w:t>היטל ההשבחה אמור להיות מ</w:t>
      </w:r>
      <w:r w:rsidR="008A787F">
        <w:rPr>
          <w:rFonts w:ascii="Arial" w:hAnsi="Arial" w:hint="cs"/>
          <w:noProof w:val="0"/>
          <w:rtl/>
        </w:rPr>
        <w:t>ש</w:t>
      </w:r>
      <w:r w:rsidR="00BC5EF9">
        <w:rPr>
          <w:rFonts w:ascii="Arial" w:hAnsi="Arial" w:hint="cs"/>
          <w:noProof w:val="0"/>
          <w:rtl/>
        </w:rPr>
        <w:t>ו</w:t>
      </w:r>
      <w:r w:rsidR="008A787F">
        <w:rPr>
          <w:rFonts w:ascii="Arial" w:hAnsi="Arial" w:hint="cs"/>
          <w:noProof w:val="0"/>
          <w:rtl/>
        </w:rPr>
        <w:t xml:space="preserve">לם על ידי </w:t>
      </w:r>
      <w:r>
        <w:rPr>
          <w:rFonts w:ascii="Arial" w:hAnsi="Arial" w:hint="cs"/>
          <w:noProof w:val="0"/>
          <w:rtl/>
        </w:rPr>
        <w:t>המערערות בתיק זה בהתאם לחלק</w:t>
      </w:r>
      <w:r w:rsidR="008A787F">
        <w:rPr>
          <w:rFonts w:ascii="Arial" w:hAnsi="Arial" w:hint="cs"/>
          <w:noProof w:val="0"/>
          <w:rtl/>
        </w:rPr>
        <w:t>ן</w:t>
      </w:r>
      <w:r>
        <w:rPr>
          <w:rFonts w:ascii="Arial" w:hAnsi="Arial" w:hint="cs"/>
          <w:noProof w:val="0"/>
          <w:rtl/>
        </w:rPr>
        <w:t xml:space="preserve"> היחסי בזכויות במקרקעין.</w:t>
      </w:r>
    </w:p>
    <w:p w:rsidR="005F152F" w:rsidRDefault="005F152F" w:rsidP="00BC5EF9">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המערערות הגישו עררים לוועדת הערר לפיצויים ולהטיל השבחה (להלן:</w:t>
      </w:r>
      <w:r w:rsidRPr="005F152F">
        <w:rPr>
          <w:rFonts w:ascii="Arial" w:hAnsi="Arial" w:hint="cs"/>
          <w:b/>
          <w:bCs/>
          <w:noProof w:val="0"/>
          <w:rtl/>
        </w:rPr>
        <w:t xml:space="preserve"> "ועדת הערר")</w:t>
      </w:r>
      <w:r>
        <w:rPr>
          <w:rFonts w:ascii="Arial" w:hAnsi="Arial" w:hint="cs"/>
          <w:noProof w:val="0"/>
          <w:rtl/>
        </w:rPr>
        <w:t xml:space="preserve"> במסגרת עררים תא/16/85131 וכן תא/17/</w:t>
      </w:r>
      <w:r w:rsidR="00BC5EF9">
        <w:rPr>
          <w:rFonts w:ascii="Arial" w:hAnsi="Arial" w:hint="cs"/>
          <w:noProof w:val="0"/>
          <w:rtl/>
        </w:rPr>
        <w:t>85182</w:t>
      </w:r>
      <w:r>
        <w:rPr>
          <w:rFonts w:ascii="Arial" w:hAnsi="Arial" w:hint="cs"/>
          <w:noProof w:val="0"/>
          <w:rtl/>
        </w:rPr>
        <w:t>, אשר אוחדו לפני ועדת הערר.</w:t>
      </w:r>
    </w:p>
    <w:p w:rsidR="005F152F" w:rsidRDefault="005F152F" w:rsidP="008A787F">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במסגרת העררים העלו המערערות </w:t>
      </w:r>
      <w:r w:rsidR="008A787F">
        <w:rPr>
          <w:rFonts w:ascii="Arial" w:hAnsi="Arial" w:hint="cs"/>
          <w:noProof w:val="0"/>
          <w:rtl/>
        </w:rPr>
        <w:t xml:space="preserve">מספר </w:t>
      </w:r>
      <w:r>
        <w:rPr>
          <w:rFonts w:ascii="Arial" w:hAnsi="Arial" w:hint="cs"/>
          <w:noProof w:val="0"/>
          <w:rtl/>
        </w:rPr>
        <w:t>טענות לעניין עצם החיוב וכן לעניין היקף החיוב, אולם הטענה היחידה הרלוונטי</w:t>
      </w:r>
      <w:r w:rsidR="008A787F">
        <w:rPr>
          <w:rFonts w:ascii="Arial" w:hAnsi="Arial" w:hint="cs"/>
          <w:noProof w:val="0"/>
          <w:rtl/>
        </w:rPr>
        <w:t>ת</w:t>
      </w:r>
      <w:r>
        <w:rPr>
          <w:rFonts w:ascii="Arial" w:hAnsi="Arial" w:hint="cs"/>
          <w:noProof w:val="0"/>
          <w:rtl/>
        </w:rPr>
        <w:t xml:space="preserve"> לתיק שלפניי הינה הטענה</w:t>
      </w:r>
      <w:r w:rsidR="008A787F">
        <w:rPr>
          <w:rFonts w:ascii="Arial" w:hAnsi="Arial" w:hint="cs"/>
          <w:noProof w:val="0"/>
          <w:rtl/>
        </w:rPr>
        <w:t>,</w:t>
      </w:r>
      <w:r>
        <w:rPr>
          <w:rFonts w:ascii="Arial" w:hAnsi="Arial" w:hint="cs"/>
          <w:noProof w:val="0"/>
          <w:rtl/>
        </w:rPr>
        <w:t xml:space="preserve"> כי לא ניתן לחייב בהיטל השבחה </w:t>
      </w:r>
      <w:r w:rsidR="008A787F">
        <w:rPr>
          <w:rFonts w:ascii="Arial" w:hAnsi="Arial" w:hint="cs"/>
          <w:noProof w:val="0"/>
          <w:rtl/>
        </w:rPr>
        <w:t xml:space="preserve">עבור תקופה רטרואקטיבית, </w:t>
      </w:r>
      <w:r w:rsidR="008A4FDA">
        <w:rPr>
          <w:rFonts w:ascii="Arial" w:hAnsi="Arial" w:hint="cs"/>
          <w:noProof w:val="0"/>
          <w:rtl/>
        </w:rPr>
        <w:t xml:space="preserve">תקופה </w:t>
      </w:r>
      <w:r w:rsidR="008A787F">
        <w:rPr>
          <w:rFonts w:ascii="Arial" w:hAnsi="Arial" w:hint="cs"/>
          <w:noProof w:val="0"/>
          <w:rtl/>
        </w:rPr>
        <w:t>אשר קדמה ליום אישור הבקשה לשימוש חורג.</w:t>
      </w:r>
    </w:p>
    <w:p w:rsidR="003E7CA8" w:rsidRDefault="00BD01D3" w:rsidP="008A4FDA">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ועדת הערר דנה בעררים</w:t>
      </w:r>
      <w:r w:rsidR="008A4FDA">
        <w:rPr>
          <w:rFonts w:ascii="Arial" w:hAnsi="Arial" w:hint="cs"/>
          <w:noProof w:val="0"/>
          <w:rtl/>
        </w:rPr>
        <w:t xml:space="preserve"> ו</w:t>
      </w:r>
      <w:r>
        <w:rPr>
          <w:rFonts w:ascii="Arial" w:hAnsi="Arial" w:hint="cs"/>
          <w:noProof w:val="0"/>
          <w:rtl/>
        </w:rPr>
        <w:t>קיבלה באופן חלקי את טענת המערערות לעניין החיוב הרטרואקטיבי, כך שפסקה כי החיוב יהיה החל מיום 10.</w:t>
      </w:r>
      <w:r w:rsidR="003E7CA8">
        <w:rPr>
          <w:rFonts w:ascii="Arial" w:hAnsi="Arial" w:hint="cs"/>
          <w:noProof w:val="0"/>
          <w:rtl/>
        </w:rPr>
        <w:t>7.2013</w:t>
      </w:r>
      <w:r w:rsidR="008A787F">
        <w:rPr>
          <w:rFonts w:ascii="Arial" w:hAnsi="Arial" w:hint="cs"/>
          <w:noProof w:val="0"/>
          <w:rtl/>
        </w:rPr>
        <w:t xml:space="preserve"> ולא מראשית השימוש החורג</w:t>
      </w:r>
      <w:r w:rsidR="003E7CA8">
        <w:rPr>
          <w:rFonts w:ascii="Arial" w:hAnsi="Arial" w:hint="cs"/>
          <w:noProof w:val="0"/>
          <w:rtl/>
        </w:rPr>
        <w:t>. עוד קבעה ועדת הערר, כי המועד הקובע לתחשיב היטל ההשבחה הינו מועד אישור השימוש החורג</w:t>
      </w:r>
      <w:r w:rsidR="008A787F">
        <w:rPr>
          <w:rFonts w:ascii="Arial" w:hAnsi="Arial" w:hint="cs"/>
          <w:noProof w:val="0"/>
          <w:rtl/>
        </w:rPr>
        <w:t xml:space="preserve"> ביום</w:t>
      </w:r>
      <w:r w:rsidR="003E7CA8">
        <w:rPr>
          <w:rFonts w:ascii="Arial" w:hAnsi="Arial" w:hint="cs"/>
          <w:noProof w:val="0"/>
          <w:rtl/>
        </w:rPr>
        <w:t xml:space="preserve"> 14.10.2015.</w:t>
      </w:r>
    </w:p>
    <w:p w:rsidR="003E7CA8" w:rsidRDefault="008A787F" w:rsidP="00A62349">
      <w:pPr>
        <w:pStyle w:val="ad"/>
        <w:spacing w:after="120" w:line="360" w:lineRule="auto"/>
        <w:ind w:left="510"/>
        <w:contextualSpacing w:val="0"/>
        <w:jc w:val="both"/>
        <w:rPr>
          <w:rFonts w:ascii="Arial" w:hAnsi="Arial"/>
          <w:noProof w:val="0"/>
          <w:rtl/>
        </w:rPr>
      </w:pPr>
      <w:r>
        <w:rPr>
          <w:rFonts w:ascii="Arial" w:hAnsi="Arial" w:hint="cs"/>
          <w:noProof w:val="0"/>
          <w:rtl/>
        </w:rPr>
        <w:t>ועדת הערר מינתה שמאי מייע</w:t>
      </w:r>
      <w:r w:rsidR="00A62349">
        <w:rPr>
          <w:rFonts w:ascii="Arial" w:hAnsi="Arial" w:hint="cs"/>
          <w:noProof w:val="0"/>
          <w:rtl/>
        </w:rPr>
        <w:t xml:space="preserve">ץ על מנת שזה </w:t>
      </w:r>
      <w:r w:rsidR="003E7CA8">
        <w:rPr>
          <w:rFonts w:ascii="Arial" w:hAnsi="Arial" w:hint="cs"/>
          <w:noProof w:val="0"/>
          <w:rtl/>
        </w:rPr>
        <w:t>יערוך שומת היטל השבחה על סמך העקרונות שקבעה.</w:t>
      </w:r>
    </w:p>
    <w:p w:rsidR="003E7CA8" w:rsidRDefault="003E7CA8" w:rsidP="001A570D">
      <w:pPr>
        <w:pStyle w:val="ad"/>
        <w:spacing w:after="120" w:line="360" w:lineRule="auto"/>
        <w:ind w:left="510"/>
        <w:contextualSpacing w:val="0"/>
        <w:jc w:val="both"/>
        <w:rPr>
          <w:rFonts w:ascii="Arial" w:hAnsi="Arial"/>
          <w:noProof w:val="0"/>
          <w:rtl/>
        </w:rPr>
      </w:pPr>
      <w:r>
        <w:rPr>
          <w:rFonts w:ascii="Arial" w:hAnsi="Arial" w:hint="cs"/>
          <w:noProof w:val="0"/>
          <w:rtl/>
        </w:rPr>
        <w:t>השמאי המייעץ ערך שומה על סמך עקרונות הוועדה המקומית וקבע</w:t>
      </w:r>
      <w:r w:rsidR="00A62349">
        <w:rPr>
          <w:rFonts w:ascii="Arial" w:hAnsi="Arial" w:hint="cs"/>
          <w:noProof w:val="0"/>
          <w:rtl/>
        </w:rPr>
        <w:t>,</w:t>
      </w:r>
      <w:r>
        <w:rPr>
          <w:rFonts w:ascii="Arial" w:hAnsi="Arial" w:hint="cs"/>
          <w:noProof w:val="0"/>
          <w:rtl/>
        </w:rPr>
        <w:t xml:space="preserve"> כי ההשבחה לתקופה החל מיום 10.7.2013 </w:t>
      </w:r>
      <w:r w:rsidR="00A62349">
        <w:rPr>
          <w:rFonts w:ascii="Arial" w:hAnsi="Arial" w:hint="cs"/>
          <w:noProof w:val="0"/>
          <w:rtl/>
        </w:rPr>
        <w:t xml:space="preserve">ועד ליום 9.9.2017 </w:t>
      </w:r>
      <w:r>
        <w:rPr>
          <w:rFonts w:ascii="Arial" w:hAnsi="Arial" w:hint="cs"/>
          <w:noProof w:val="0"/>
          <w:rtl/>
        </w:rPr>
        <w:t>הינה</w:t>
      </w:r>
      <w:r w:rsidR="00A62349">
        <w:rPr>
          <w:rFonts w:ascii="Arial" w:hAnsi="Arial" w:hint="cs"/>
          <w:noProof w:val="0"/>
          <w:rtl/>
        </w:rPr>
        <w:t xml:space="preserve"> בסך של</w:t>
      </w:r>
      <w:r>
        <w:rPr>
          <w:rFonts w:ascii="Arial" w:hAnsi="Arial" w:hint="cs"/>
          <w:noProof w:val="0"/>
          <w:rtl/>
        </w:rPr>
        <w:t xml:space="preserve"> </w:t>
      </w:r>
      <w:r w:rsidR="00A6533D">
        <w:rPr>
          <w:rFonts w:ascii="Arial" w:hAnsi="Arial" w:hint="cs"/>
          <w:noProof w:val="0"/>
          <w:rtl/>
        </w:rPr>
        <w:t>8,081,000 ₪ ומכאן היטל ההשבחה הינו בסך של 4,040,500 ₪.</w:t>
      </w:r>
    </w:p>
    <w:p w:rsidR="00A6533D" w:rsidRDefault="00A6533D" w:rsidP="008A4FDA">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הצדדים הגישו לוועדת הערר התייחסויות</w:t>
      </w:r>
      <w:r w:rsidR="00A62349">
        <w:rPr>
          <w:rFonts w:ascii="Arial" w:hAnsi="Arial" w:hint="cs"/>
          <w:noProof w:val="0"/>
          <w:rtl/>
        </w:rPr>
        <w:t>יהם בעניין</w:t>
      </w:r>
      <w:r>
        <w:rPr>
          <w:rFonts w:ascii="Arial" w:hAnsi="Arial" w:hint="cs"/>
          <w:noProof w:val="0"/>
          <w:rtl/>
        </w:rPr>
        <w:t xml:space="preserve"> </w:t>
      </w:r>
      <w:r w:rsidR="00A62349">
        <w:rPr>
          <w:rFonts w:ascii="Arial" w:hAnsi="Arial" w:hint="cs"/>
          <w:noProof w:val="0"/>
          <w:rtl/>
        </w:rPr>
        <w:t>ה</w:t>
      </w:r>
      <w:r>
        <w:rPr>
          <w:rFonts w:ascii="Arial" w:hAnsi="Arial" w:hint="cs"/>
          <w:noProof w:val="0"/>
          <w:rtl/>
        </w:rPr>
        <w:t>שומה המייעצת. ביום</w:t>
      </w:r>
      <w:r w:rsidR="008A4FDA">
        <w:rPr>
          <w:rFonts w:ascii="Arial" w:hAnsi="Arial" w:hint="cs"/>
          <w:noProof w:val="0"/>
          <w:rtl/>
        </w:rPr>
        <w:t xml:space="preserve"> </w:t>
      </w:r>
      <w:r>
        <w:rPr>
          <w:rFonts w:ascii="Arial" w:hAnsi="Arial" w:hint="cs"/>
          <w:noProof w:val="0"/>
          <w:rtl/>
        </w:rPr>
        <w:t xml:space="preserve">25.7.2021 התקבלה ההחלטה המשלימה של ועדת הערר, אשר </w:t>
      </w:r>
      <w:r w:rsidR="00A62349">
        <w:rPr>
          <w:rFonts w:ascii="Arial" w:hAnsi="Arial" w:hint="cs"/>
          <w:noProof w:val="0"/>
          <w:rtl/>
        </w:rPr>
        <w:t xml:space="preserve">במסגרתה </w:t>
      </w:r>
      <w:r>
        <w:rPr>
          <w:rFonts w:ascii="Arial" w:hAnsi="Arial" w:hint="cs"/>
          <w:noProof w:val="0"/>
          <w:rtl/>
        </w:rPr>
        <w:t xml:space="preserve">חזרה </w:t>
      </w:r>
      <w:r w:rsidR="00A62349">
        <w:rPr>
          <w:rFonts w:ascii="Arial" w:hAnsi="Arial" w:hint="cs"/>
          <w:noProof w:val="0"/>
          <w:rtl/>
        </w:rPr>
        <w:t xml:space="preserve">ועדת הערר </w:t>
      </w:r>
      <w:r>
        <w:rPr>
          <w:rFonts w:ascii="Arial" w:hAnsi="Arial" w:hint="cs"/>
          <w:noProof w:val="0"/>
          <w:rtl/>
        </w:rPr>
        <w:t xml:space="preserve">על עמדתה כי יש לחייב את המערערות בהיטל השבחה בחיוב רטרואקטיבי החל מיום 10.7.2013 </w:t>
      </w:r>
      <w:r w:rsidR="00A62349">
        <w:rPr>
          <w:rFonts w:ascii="Arial" w:hAnsi="Arial" w:hint="cs"/>
          <w:noProof w:val="0"/>
          <w:rtl/>
        </w:rPr>
        <w:t xml:space="preserve">וזאת </w:t>
      </w:r>
      <w:r>
        <w:rPr>
          <w:rFonts w:ascii="Arial" w:hAnsi="Arial" w:hint="cs"/>
          <w:noProof w:val="0"/>
          <w:rtl/>
        </w:rPr>
        <w:t>לפי המועד הקובע של 14.10.2015. ועדת הערר אף דחתה את טענות המערערות ביחס לגובה החיוב ואימצה את השומה המייעצת במלואה.</w:t>
      </w:r>
    </w:p>
    <w:p w:rsidR="005813B9" w:rsidRPr="005813B9" w:rsidRDefault="005813B9" w:rsidP="00A62349">
      <w:pPr>
        <w:spacing w:after="120" w:line="360" w:lineRule="auto"/>
        <w:ind w:left="-57"/>
        <w:jc w:val="both"/>
        <w:rPr>
          <w:rFonts w:ascii="Arial" w:hAnsi="Arial"/>
          <w:b/>
          <w:bCs/>
          <w:noProof w:val="0"/>
          <w:u w:val="single"/>
        </w:rPr>
      </w:pPr>
      <w:r w:rsidRPr="005813B9">
        <w:rPr>
          <w:rFonts w:ascii="Arial" w:hAnsi="Arial" w:hint="cs"/>
          <w:b/>
          <w:bCs/>
          <w:noProof w:val="0"/>
          <w:u w:val="single"/>
          <w:rtl/>
        </w:rPr>
        <w:t>הער</w:t>
      </w:r>
      <w:r>
        <w:rPr>
          <w:rFonts w:ascii="Arial" w:hAnsi="Arial" w:hint="cs"/>
          <w:b/>
          <w:bCs/>
          <w:noProof w:val="0"/>
          <w:u w:val="single"/>
          <w:rtl/>
        </w:rPr>
        <w:t>עו</w:t>
      </w:r>
      <w:r w:rsidRPr="005813B9">
        <w:rPr>
          <w:rFonts w:ascii="Arial" w:hAnsi="Arial" w:hint="cs"/>
          <w:b/>
          <w:bCs/>
          <w:noProof w:val="0"/>
          <w:u w:val="single"/>
          <w:rtl/>
        </w:rPr>
        <w:t>ר, ההליכים בער</w:t>
      </w:r>
      <w:r w:rsidR="00A62349">
        <w:rPr>
          <w:rFonts w:ascii="Arial" w:hAnsi="Arial" w:hint="cs"/>
          <w:b/>
          <w:bCs/>
          <w:noProof w:val="0"/>
          <w:u w:val="single"/>
          <w:rtl/>
        </w:rPr>
        <w:t>עו</w:t>
      </w:r>
      <w:r w:rsidRPr="005813B9">
        <w:rPr>
          <w:rFonts w:ascii="Arial" w:hAnsi="Arial" w:hint="cs"/>
          <w:b/>
          <w:bCs/>
          <w:noProof w:val="0"/>
          <w:u w:val="single"/>
          <w:rtl/>
        </w:rPr>
        <w:t>ר וחידוד המחלוקת</w:t>
      </w:r>
    </w:p>
    <w:p w:rsidR="005F152F" w:rsidRDefault="005813B9" w:rsidP="00A62349">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במסגרת הערעור העלו המערערות שתי טענות עקרוניות בלבד. הטענה הראשונה</w:t>
      </w:r>
      <w:r w:rsidR="00A62349">
        <w:rPr>
          <w:rFonts w:ascii="Arial" w:hAnsi="Arial" w:hint="cs"/>
          <w:noProof w:val="0"/>
          <w:rtl/>
        </w:rPr>
        <w:t>,</w:t>
      </w:r>
      <w:r>
        <w:rPr>
          <w:rFonts w:ascii="Arial" w:hAnsi="Arial" w:hint="cs"/>
          <w:noProof w:val="0"/>
          <w:rtl/>
        </w:rPr>
        <w:t xml:space="preserve"> עניינה תקופת החיוב בהיטל ההשבחה. טענת המערערות בעניין זה ברורה וממוקדת, כאשר לטענת</w:t>
      </w:r>
      <w:r w:rsidR="009A7D29">
        <w:rPr>
          <w:rFonts w:ascii="Arial" w:hAnsi="Arial" w:hint="cs"/>
          <w:noProof w:val="0"/>
          <w:rtl/>
        </w:rPr>
        <w:t>ן</w:t>
      </w:r>
      <w:r>
        <w:rPr>
          <w:rFonts w:ascii="Arial" w:hAnsi="Arial" w:hint="cs"/>
          <w:noProof w:val="0"/>
          <w:rtl/>
        </w:rPr>
        <w:t xml:space="preserve"> לא ניתן לחייב </w:t>
      </w:r>
      <w:r w:rsidR="00A62349">
        <w:rPr>
          <w:rFonts w:ascii="Arial" w:hAnsi="Arial" w:hint="cs"/>
          <w:noProof w:val="0"/>
          <w:rtl/>
        </w:rPr>
        <w:t>היטל השבחה לגבי תקופה אשר קדמה להחלטת הוועדה המקומית.</w:t>
      </w:r>
    </w:p>
    <w:p w:rsidR="005813B9" w:rsidRDefault="005813B9" w:rsidP="00A62349">
      <w:pPr>
        <w:pStyle w:val="ad"/>
        <w:spacing w:after="120" w:line="360" w:lineRule="auto"/>
        <w:ind w:left="510"/>
        <w:contextualSpacing w:val="0"/>
        <w:jc w:val="both"/>
        <w:rPr>
          <w:rFonts w:ascii="Arial" w:hAnsi="Arial"/>
          <w:noProof w:val="0"/>
          <w:rtl/>
        </w:rPr>
      </w:pPr>
      <w:r>
        <w:rPr>
          <w:rFonts w:ascii="Arial" w:hAnsi="Arial" w:hint="cs"/>
          <w:noProof w:val="0"/>
          <w:rtl/>
        </w:rPr>
        <w:t xml:space="preserve">הטענה השנייה של המערערות הייתה בעניין </w:t>
      </w:r>
      <w:r w:rsidR="00A62349">
        <w:rPr>
          <w:rFonts w:ascii="Arial" w:hAnsi="Arial" w:hint="cs"/>
          <w:noProof w:val="0"/>
          <w:rtl/>
        </w:rPr>
        <w:t xml:space="preserve">חישוב </w:t>
      </w:r>
      <w:r>
        <w:rPr>
          <w:rFonts w:ascii="Arial" w:hAnsi="Arial" w:hint="cs"/>
          <w:noProof w:val="0"/>
          <w:rtl/>
        </w:rPr>
        <w:t>שווי המקרקעין במצב הקודם.</w:t>
      </w:r>
    </w:p>
    <w:p w:rsidR="00802271" w:rsidRDefault="00802271">
      <w:pPr>
        <w:bidi w:val="0"/>
        <w:rPr>
          <w:rFonts w:ascii="Arial" w:hAnsi="Arial"/>
          <w:noProof w:val="0"/>
          <w:rtl/>
        </w:rPr>
      </w:pPr>
      <w:r>
        <w:rPr>
          <w:rFonts w:ascii="Arial" w:hAnsi="Arial"/>
          <w:noProof w:val="0"/>
          <w:rtl/>
        </w:rPr>
        <w:br w:type="page"/>
      </w:r>
    </w:p>
    <w:p w:rsidR="00AE243F" w:rsidRDefault="005813B9" w:rsidP="00A62349">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lastRenderedPageBreak/>
        <w:t>המשיבה הגישה כתב תשובה לערעור במסגרתו טענה</w:t>
      </w:r>
      <w:r w:rsidR="009A7D29">
        <w:rPr>
          <w:rFonts w:ascii="Arial" w:hAnsi="Arial" w:hint="cs"/>
          <w:noProof w:val="0"/>
          <w:rtl/>
        </w:rPr>
        <w:t>,</w:t>
      </w:r>
      <w:r>
        <w:rPr>
          <w:rFonts w:ascii="Arial" w:hAnsi="Arial" w:hint="cs"/>
          <w:noProof w:val="0"/>
          <w:rtl/>
        </w:rPr>
        <w:t xml:space="preserve"> כי אין מקום להתערב בהחלטתה המקצועית של ועדת הערר. לגופם של דברים טענה המשיבה</w:t>
      </w:r>
      <w:r w:rsidR="00A62349">
        <w:rPr>
          <w:rFonts w:ascii="Arial" w:hAnsi="Arial" w:hint="cs"/>
          <w:noProof w:val="0"/>
          <w:rtl/>
        </w:rPr>
        <w:t>,</w:t>
      </w:r>
      <w:r w:rsidR="00AE243F">
        <w:rPr>
          <w:rFonts w:ascii="Arial" w:hAnsi="Arial" w:hint="cs"/>
          <w:noProof w:val="0"/>
          <w:rtl/>
        </w:rPr>
        <w:t xml:space="preserve"> כי </w:t>
      </w:r>
      <w:r w:rsidR="00A62349">
        <w:rPr>
          <w:rFonts w:ascii="Arial" w:hAnsi="Arial" w:hint="cs"/>
          <w:noProof w:val="0"/>
          <w:rtl/>
        </w:rPr>
        <w:t xml:space="preserve">קיימת </w:t>
      </w:r>
      <w:r w:rsidR="00AE243F">
        <w:rPr>
          <w:rFonts w:ascii="Arial" w:hAnsi="Arial" w:hint="cs"/>
          <w:noProof w:val="0"/>
          <w:rtl/>
        </w:rPr>
        <w:t xml:space="preserve">אפשרות לחייב </w:t>
      </w:r>
      <w:r w:rsidR="00A62349">
        <w:rPr>
          <w:rFonts w:ascii="Arial" w:hAnsi="Arial" w:hint="cs"/>
          <w:noProof w:val="0"/>
          <w:rtl/>
        </w:rPr>
        <w:t xml:space="preserve">בהיטל השבחה </w:t>
      </w:r>
      <w:r w:rsidR="00AE243F">
        <w:rPr>
          <w:rFonts w:ascii="Arial" w:hAnsi="Arial" w:hint="cs"/>
          <w:noProof w:val="0"/>
          <w:rtl/>
        </w:rPr>
        <w:t>רטרואקטיבי</w:t>
      </w:r>
      <w:r w:rsidR="00A62349">
        <w:rPr>
          <w:rFonts w:ascii="Arial" w:hAnsi="Arial" w:hint="cs"/>
          <w:noProof w:val="0"/>
          <w:rtl/>
        </w:rPr>
        <w:t xml:space="preserve">ת, כלומר, גם לתקופה שקדמה להחלטה המתירה שימוש חורג, וכי אפשרות זו </w:t>
      </w:r>
      <w:r w:rsidR="00AE243F">
        <w:rPr>
          <w:rFonts w:ascii="Arial" w:hAnsi="Arial" w:hint="cs"/>
          <w:noProof w:val="0"/>
          <w:rtl/>
        </w:rPr>
        <w:t>מעוגנת בדיני היטל ה</w:t>
      </w:r>
      <w:r w:rsidR="00892444">
        <w:rPr>
          <w:rFonts w:ascii="Arial" w:hAnsi="Arial" w:hint="cs"/>
          <w:noProof w:val="0"/>
          <w:rtl/>
        </w:rPr>
        <w:t>ה</w:t>
      </w:r>
      <w:r w:rsidR="00AE243F">
        <w:rPr>
          <w:rFonts w:ascii="Arial" w:hAnsi="Arial" w:hint="cs"/>
          <w:noProof w:val="0"/>
          <w:rtl/>
        </w:rPr>
        <w:t>שבחה. עוד טענה המשיבה</w:t>
      </w:r>
      <w:r w:rsidR="00A62349">
        <w:rPr>
          <w:rFonts w:ascii="Arial" w:hAnsi="Arial" w:hint="cs"/>
          <w:noProof w:val="0"/>
          <w:rtl/>
        </w:rPr>
        <w:t>,</w:t>
      </w:r>
      <w:r w:rsidR="00AE243F">
        <w:rPr>
          <w:rFonts w:ascii="Arial" w:hAnsi="Arial" w:hint="cs"/>
          <w:noProof w:val="0"/>
          <w:rtl/>
        </w:rPr>
        <w:t xml:space="preserve"> כי ככל והמערערות היו סבורות כי אין מקום לחיוב רטרואקטיבי </w:t>
      </w:r>
      <w:r w:rsidR="00A62349">
        <w:rPr>
          <w:rFonts w:ascii="Arial" w:hAnsi="Arial" w:hint="cs"/>
          <w:noProof w:val="0"/>
          <w:rtl/>
        </w:rPr>
        <w:t>בהיטל השבחה</w:t>
      </w:r>
      <w:r w:rsidR="00892444">
        <w:rPr>
          <w:rFonts w:ascii="Arial" w:hAnsi="Arial" w:hint="cs"/>
          <w:noProof w:val="0"/>
          <w:rtl/>
        </w:rPr>
        <w:t>,</w:t>
      </w:r>
      <w:r w:rsidR="00A62349">
        <w:rPr>
          <w:rFonts w:ascii="Arial" w:hAnsi="Arial" w:hint="cs"/>
          <w:noProof w:val="0"/>
          <w:rtl/>
        </w:rPr>
        <w:t xml:space="preserve"> </w:t>
      </w:r>
      <w:r w:rsidR="00AE243F">
        <w:rPr>
          <w:rFonts w:ascii="Arial" w:hAnsi="Arial" w:hint="cs"/>
          <w:noProof w:val="0"/>
          <w:rtl/>
        </w:rPr>
        <w:t>היה עליהם לפנות בערר על הליכי הרישוי ולא לתקוף זאת במישור דיני היטל ההשבחה.</w:t>
      </w:r>
    </w:p>
    <w:p w:rsidR="005813B9" w:rsidRDefault="00AE243F" w:rsidP="00892444">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ביום 1.12.2022 התקיים הדיון הראשון בערעור. במסגרת הדיון שיקף בית המשפט למשיבה את הבעיה הקיימת בהתנהלותה בתיק זה, כך שהוועדה המקומית</w:t>
      </w:r>
      <w:r w:rsidR="002525AB">
        <w:rPr>
          <w:rFonts w:ascii="Arial" w:hAnsi="Arial" w:hint="cs"/>
          <w:noProof w:val="0"/>
          <w:rtl/>
        </w:rPr>
        <w:t>,</w:t>
      </w:r>
      <w:r w:rsidR="00892444">
        <w:rPr>
          <w:rFonts w:ascii="Arial" w:hAnsi="Arial" w:hint="cs"/>
          <w:noProof w:val="0"/>
          <w:rtl/>
        </w:rPr>
        <w:t xml:space="preserve"> </w:t>
      </w:r>
      <w:r>
        <w:rPr>
          <w:rFonts w:ascii="Arial" w:hAnsi="Arial" w:hint="cs"/>
          <w:noProof w:val="0"/>
          <w:rtl/>
        </w:rPr>
        <w:t xml:space="preserve">לשיטתה שלה, יודעת כי החל משנת 2010 מתנהל במקום חניון ללא היתר </w:t>
      </w:r>
      <w:r w:rsidR="002525AB">
        <w:rPr>
          <w:rFonts w:ascii="Arial" w:hAnsi="Arial" w:hint="cs"/>
          <w:noProof w:val="0"/>
          <w:rtl/>
        </w:rPr>
        <w:t>לשימוש חורג</w:t>
      </w:r>
      <w:r w:rsidR="00A62349">
        <w:rPr>
          <w:rFonts w:ascii="Arial" w:hAnsi="Arial" w:hint="cs"/>
          <w:noProof w:val="0"/>
          <w:rtl/>
        </w:rPr>
        <w:t>, חניון</w:t>
      </w:r>
      <w:r w:rsidR="002525AB">
        <w:rPr>
          <w:rFonts w:ascii="Arial" w:hAnsi="Arial" w:hint="cs"/>
          <w:noProof w:val="0"/>
          <w:rtl/>
        </w:rPr>
        <w:t xml:space="preserve"> המפיק רווח כלכלי. </w:t>
      </w:r>
      <w:r w:rsidR="00A62349">
        <w:rPr>
          <w:rFonts w:ascii="Arial" w:hAnsi="Arial" w:hint="cs"/>
          <w:noProof w:val="0"/>
          <w:rtl/>
        </w:rPr>
        <w:t xml:space="preserve">למרות זאת, </w:t>
      </w:r>
      <w:r w:rsidR="002525AB">
        <w:rPr>
          <w:rFonts w:ascii="Arial" w:hAnsi="Arial" w:hint="cs"/>
          <w:noProof w:val="0"/>
          <w:rtl/>
        </w:rPr>
        <w:t>המשיבה</w:t>
      </w:r>
      <w:r w:rsidR="00A62349">
        <w:rPr>
          <w:rFonts w:ascii="Arial" w:hAnsi="Arial" w:hint="cs"/>
          <w:noProof w:val="0"/>
          <w:rtl/>
        </w:rPr>
        <w:t xml:space="preserve"> </w:t>
      </w:r>
      <w:r w:rsidR="002525AB">
        <w:rPr>
          <w:rFonts w:ascii="Arial" w:hAnsi="Arial" w:hint="cs"/>
          <w:noProof w:val="0"/>
          <w:rtl/>
        </w:rPr>
        <w:t>מחליטה על דעת עצמה, מבלי שהדבר התבקש</w:t>
      </w:r>
      <w:r w:rsidR="00A62349">
        <w:rPr>
          <w:rFonts w:ascii="Arial" w:hAnsi="Arial" w:hint="cs"/>
          <w:noProof w:val="0"/>
          <w:rtl/>
        </w:rPr>
        <w:t xml:space="preserve"> על ידי מבקש ההיתר או הבעלים</w:t>
      </w:r>
      <w:r w:rsidR="002525AB">
        <w:rPr>
          <w:rFonts w:ascii="Arial" w:hAnsi="Arial" w:hint="cs"/>
          <w:noProof w:val="0"/>
          <w:rtl/>
        </w:rPr>
        <w:t xml:space="preserve">, לאשר שימוש חורג בדיעבד </w:t>
      </w:r>
      <w:r w:rsidR="00A62349">
        <w:rPr>
          <w:rFonts w:ascii="Arial" w:hAnsi="Arial" w:hint="cs"/>
          <w:noProof w:val="0"/>
          <w:rtl/>
        </w:rPr>
        <w:t>ל</w:t>
      </w:r>
      <w:r w:rsidR="002525AB">
        <w:rPr>
          <w:rFonts w:ascii="Arial" w:hAnsi="Arial" w:hint="cs"/>
          <w:noProof w:val="0"/>
          <w:rtl/>
        </w:rPr>
        <w:t>תקופה רטרואקטיבית ולתת היתר לשימוש חורג</w:t>
      </w:r>
      <w:r w:rsidR="00892444">
        <w:rPr>
          <w:rFonts w:ascii="Arial" w:hAnsi="Arial" w:hint="cs"/>
          <w:noProof w:val="0"/>
          <w:rtl/>
        </w:rPr>
        <w:t xml:space="preserve"> בעבר</w:t>
      </w:r>
      <w:r w:rsidR="002525AB">
        <w:rPr>
          <w:rFonts w:ascii="Arial" w:hAnsi="Arial" w:hint="cs"/>
          <w:noProof w:val="0"/>
          <w:rtl/>
        </w:rPr>
        <w:t xml:space="preserve">, </w:t>
      </w:r>
      <w:r w:rsidR="00A62349">
        <w:rPr>
          <w:rFonts w:ascii="Arial" w:hAnsi="Arial" w:hint="cs"/>
          <w:noProof w:val="0"/>
          <w:rtl/>
        </w:rPr>
        <w:t xml:space="preserve">היתר </w:t>
      </w:r>
      <w:r w:rsidR="002525AB">
        <w:rPr>
          <w:rFonts w:ascii="Arial" w:hAnsi="Arial" w:hint="cs"/>
          <w:noProof w:val="0"/>
          <w:rtl/>
        </w:rPr>
        <w:t>אשר למעשה "מלבין" את העבירה שנעשתה.</w:t>
      </w:r>
      <w:r w:rsidR="002525AB" w:rsidRPr="002525AB">
        <w:rPr>
          <w:rFonts w:ascii="Arial" w:hAnsi="Arial"/>
          <w:noProof w:val="0"/>
          <w:rtl/>
        </w:rPr>
        <w:t xml:space="preserve"> </w:t>
      </w:r>
    </w:p>
    <w:p w:rsidR="002525AB" w:rsidRDefault="002525AB" w:rsidP="00322EAB">
      <w:pPr>
        <w:pStyle w:val="ad"/>
        <w:spacing w:after="120" w:line="360" w:lineRule="auto"/>
        <w:ind w:left="510"/>
        <w:contextualSpacing w:val="0"/>
        <w:jc w:val="both"/>
        <w:rPr>
          <w:rFonts w:ascii="Arial" w:hAnsi="Arial"/>
          <w:noProof w:val="0"/>
          <w:rtl/>
        </w:rPr>
      </w:pPr>
      <w:r>
        <w:rPr>
          <w:rFonts w:ascii="Arial" w:hAnsi="Arial" w:hint="cs"/>
          <w:noProof w:val="0"/>
          <w:rtl/>
        </w:rPr>
        <w:t xml:space="preserve">עוד הפנה בית המשפט את המשיבה לפסק הדין בעניין </w:t>
      </w:r>
      <w:r w:rsidRPr="002525AB">
        <w:rPr>
          <w:rFonts w:ascii="Arial" w:hAnsi="Arial"/>
          <w:noProof w:val="0"/>
          <w:rtl/>
        </w:rPr>
        <w:t xml:space="preserve">בר"מ 6526-19 </w:t>
      </w:r>
      <w:r w:rsidRPr="002525AB">
        <w:rPr>
          <w:rFonts w:ascii="Arial" w:hAnsi="Arial"/>
          <w:b/>
          <w:bCs/>
          <w:noProof w:val="0"/>
          <w:rtl/>
        </w:rPr>
        <w:t>הוועדה המקומית לתכנון ולבניה ירושלים נ' רות נקר</w:t>
      </w:r>
      <w:r>
        <w:rPr>
          <w:rFonts w:ascii="Arial" w:hAnsi="Arial" w:hint="cs"/>
          <w:noProof w:val="0"/>
          <w:rtl/>
        </w:rPr>
        <w:t xml:space="preserve"> [פורסם במאגר נבו] (16.2.2021)</w:t>
      </w:r>
      <w:r w:rsidR="00633405">
        <w:rPr>
          <w:rFonts w:ascii="Arial" w:hAnsi="Arial" w:hint="cs"/>
          <w:noProof w:val="0"/>
          <w:rtl/>
        </w:rPr>
        <w:t xml:space="preserve"> </w:t>
      </w:r>
      <w:r w:rsidR="00A62349">
        <w:rPr>
          <w:rFonts w:ascii="Arial" w:hAnsi="Arial" w:hint="cs"/>
          <w:noProof w:val="0"/>
          <w:rtl/>
        </w:rPr>
        <w:t xml:space="preserve">(להלן: </w:t>
      </w:r>
      <w:r w:rsidR="00A62349" w:rsidRPr="00A62349">
        <w:rPr>
          <w:rFonts w:ascii="Arial" w:hAnsi="Arial" w:hint="cs"/>
          <w:b/>
          <w:bCs/>
          <w:noProof w:val="0"/>
          <w:rtl/>
        </w:rPr>
        <w:t>"עניין נקר"</w:t>
      </w:r>
      <w:r w:rsidR="00A62349">
        <w:rPr>
          <w:rFonts w:ascii="Arial" w:hAnsi="Arial" w:hint="cs"/>
          <w:noProof w:val="0"/>
          <w:rtl/>
        </w:rPr>
        <w:t>) ול</w:t>
      </w:r>
      <w:r w:rsidR="00322EAB">
        <w:rPr>
          <w:rFonts w:ascii="Arial" w:hAnsi="Arial" w:hint="cs"/>
          <w:noProof w:val="0"/>
          <w:rtl/>
        </w:rPr>
        <w:t>שיקולי המדיניות שנסקרו בו</w:t>
      </w:r>
      <w:r>
        <w:rPr>
          <w:rFonts w:ascii="Arial" w:hAnsi="Arial" w:hint="cs"/>
          <w:noProof w:val="0"/>
          <w:rtl/>
        </w:rPr>
        <w:t>.</w:t>
      </w:r>
    </w:p>
    <w:p w:rsidR="002525AB" w:rsidRDefault="002525AB" w:rsidP="001A570D">
      <w:pPr>
        <w:pStyle w:val="ad"/>
        <w:spacing w:after="120" w:line="360" w:lineRule="auto"/>
        <w:ind w:left="510"/>
        <w:contextualSpacing w:val="0"/>
        <w:jc w:val="both"/>
        <w:rPr>
          <w:rFonts w:ascii="Arial" w:hAnsi="Arial"/>
          <w:noProof w:val="0"/>
          <w:rtl/>
        </w:rPr>
      </w:pPr>
      <w:r>
        <w:rPr>
          <w:rFonts w:ascii="Arial" w:hAnsi="Arial" w:hint="cs"/>
          <w:noProof w:val="0"/>
          <w:rtl/>
        </w:rPr>
        <w:t>בנסיבות אלו, קבע בית המשפט שעל המשיבה לערוך בירור מקיף בדבר התנהלותה במקרה זה.</w:t>
      </w:r>
    </w:p>
    <w:p w:rsidR="005F152F" w:rsidRDefault="002525AB" w:rsidP="00322EAB">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ביום 15.1.2023 הוגשה השלמת הטיעון מטעם המשיבה, במסגרת</w:t>
      </w:r>
      <w:r w:rsidR="00322EAB">
        <w:rPr>
          <w:rFonts w:ascii="Arial" w:hAnsi="Arial" w:hint="cs"/>
          <w:noProof w:val="0"/>
          <w:rtl/>
        </w:rPr>
        <w:t>ה</w:t>
      </w:r>
      <w:r>
        <w:rPr>
          <w:rFonts w:ascii="Arial" w:hAnsi="Arial" w:hint="cs"/>
          <w:noProof w:val="0"/>
          <w:rtl/>
        </w:rPr>
        <w:t xml:space="preserve"> פרטה המשיבה את הליכי האכיפה שבוצע</w:t>
      </w:r>
      <w:r w:rsidR="003158B7">
        <w:rPr>
          <w:rFonts w:ascii="Arial" w:hAnsi="Arial" w:hint="cs"/>
          <w:noProof w:val="0"/>
          <w:rtl/>
        </w:rPr>
        <w:t>ו</w:t>
      </w:r>
      <w:r w:rsidR="00322EAB">
        <w:rPr>
          <w:rFonts w:ascii="Arial" w:hAnsi="Arial" w:hint="cs"/>
          <w:noProof w:val="0"/>
          <w:rtl/>
        </w:rPr>
        <w:t>, לטענתה,</w:t>
      </w:r>
      <w:r w:rsidR="003158B7">
        <w:rPr>
          <w:rFonts w:ascii="Arial" w:hAnsi="Arial" w:hint="cs"/>
          <w:noProof w:val="0"/>
          <w:rtl/>
        </w:rPr>
        <w:t xml:space="preserve"> במקרקעין נשוא הערעור.</w:t>
      </w:r>
    </w:p>
    <w:p w:rsidR="003158B7" w:rsidRDefault="003158B7" w:rsidP="001A570D">
      <w:pPr>
        <w:pStyle w:val="ad"/>
        <w:spacing w:after="120" w:line="360" w:lineRule="auto"/>
        <w:ind w:left="510"/>
        <w:contextualSpacing w:val="0"/>
        <w:jc w:val="both"/>
        <w:rPr>
          <w:rFonts w:ascii="Arial" w:hAnsi="Arial"/>
          <w:noProof w:val="0"/>
        </w:rPr>
      </w:pPr>
      <w:r>
        <w:rPr>
          <w:rFonts w:ascii="Arial" w:hAnsi="Arial" w:hint="cs"/>
          <w:noProof w:val="0"/>
          <w:rtl/>
        </w:rPr>
        <w:t>ביום 13.2.2023 הוגשה תגובת המערערות להשלמת הטיעון.</w:t>
      </w:r>
    </w:p>
    <w:p w:rsidR="003158B7" w:rsidRDefault="003158B7" w:rsidP="001A570D">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ביום 27.4.2023 התקיים דיון נוסף בערעור, במסגרתו חידדו הצדדים את טענותיהם. במהלך הדיון הודיעו המערערות כי הן חוזרות בהן מהערעור בעניין שווי המצב הקודם, וכי הערעור יתמקד</w:t>
      </w:r>
      <w:r w:rsidR="00322EAB">
        <w:rPr>
          <w:rFonts w:ascii="Arial" w:hAnsi="Arial" w:hint="cs"/>
          <w:noProof w:val="0"/>
          <w:rtl/>
        </w:rPr>
        <w:t xml:space="preserve"> אך ורק בשאלת החיוב הרטרואקטיבי וחוקיותו.</w:t>
      </w:r>
    </w:p>
    <w:p w:rsidR="00802271" w:rsidRDefault="003158B7" w:rsidP="001A570D">
      <w:pPr>
        <w:pStyle w:val="ad"/>
        <w:numPr>
          <w:ilvl w:val="0"/>
          <w:numId w:val="1"/>
        </w:numPr>
        <w:spacing w:after="120" w:line="360" w:lineRule="auto"/>
        <w:ind w:left="510" w:hanging="567"/>
        <w:contextualSpacing w:val="0"/>
        <w:jc w:val="both"/>
        <w:rPr>
          <w:rFonts w:ascii="Arial" w:hAnsi="Arial"/>
          <w:noProof w:val="0"/>
          <w:rtl/>
        </w:rPr>
      </w:pPr>
      <w:r>
        <w:rPr>
          <w:rFonts w:ascii="Arial" w:hAnsi="Arial" w:hint="cs"/>
          <w:noProof w:val="0"/>
          <w:rtl/>
        </w:rPr>
        <w:t>אדון בטענות הצדדים כפי שבאו לידי ביטוי בכתבי הטענות, בדיונים ובהשלמת הטיעון בפרק הדיון והכרעה.</w:t>
      </w:r>
    </w:p>
    <w:p w:rsidR="00802271" w:rsidRDefault="00802271">
      <w:pPr>
        <w:bidi w:val="0"/>
        <w:rPr>
          <w:rFonts w:ascii="Arial" w:hAnsi="Arial"/>
          <w:noProof w:val="0"/>
          <w:rtl/>
        </w:rPr>
      </w:pPr>
      <w:r>
        <w:rPr>
          <w:rFonts w:ascii="Arial" w:hAnsi="Arial"/>
          <w:noProof w:val="0"/>
          <w:rtl/>
        </w:rPr>
        <w:br w:type="page"/>
      </w:r>
    </w:p>
    <w:p w:rsidR="003158B7" w:rsidRDefault="003158B7" w:rsidP="001A570D">
      <w:pPr>
        <w:spacing w:after="120" w:line="360" w:lineRule="auto"/>
        <w:ind w:left="-57"/>
        <w:jc w:val="both"/>
        <w:rPr>
          <w:rFonts w:ascii="Arial" w:hAnsi="Arial"/>
          <w:b/>
          <w:bCs/>
          <w:noProof w:val="0"/>
          <w:u w:val="single"/>
          <w:rtl/>
        </w:rPr>
      </w:pPr>
      <w:r w:rsidRPr="003158B7">
        <w:rPr>
          <w:rFonts w:ascii="Arial" w:hAnsi="Arial" w:hint="cs"/>
          <w:b/>
          <w:bCs/>
          <w:noProof w:val="0"/>
          <w:u w:val="single"/>
          <w:rtl/>
        </w:rPr>
        <w:lastRenderedPageBreak/>
        <w:t>דיון והכרעה</w:t>
      </w:r>
    </w:p>
    <w:p w:rsidR="00A95066" w:rsidRDefault="00A95066" w:rsidP="001A570D">
      <w:pPr>
        <w:spacing w:after="120" w:line="360" w:lineRule="auto"/>
        <w:ind w:left="-57"/>
        <w:jc w:val="both"/>
        <w:rPr>
          <w:rFonts w:ascii="Arial" w:hAnsi="Arial"/>
          <w:b/>
          <w:bCs/>
          <w:noProof w:val="0"/>
          <w:u w:val="single"/>
          <w:rtl/>
        </w:rPr>
      </w:pPr>
      <w:r>
        <w:rPr>
          <w:rFonts w:ascii="Arial" w:hAnsi="Arial" w:hint="cs"/>
          <w:b/>
          <w:bCs/>
          <w:noProof w:val="0"/>
          <w:u w:val="single"/>
          <w:rtl/>
        </w:rPr>
        <w:t>החלטת ועדת הערר</w:t>
      </w:r>
    </w:p>
    <w:p w:rsidR="00A95066" w:rsidRDefault="00A95066" w:rsidP="00322EAB">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החלטת ועדת הערר בנושא זה מורכבת משני חלקים, החלק הראשון נוגע לטענות מניעות שנטענו על ידי המערערות ופגמים במתן ההחלטה</w:t>
      </w:r>
      <w:r w:rsidR="00322EAB">
        <w:rPr>
          <w:rFonts w:ascii="Arial" w:hAnsi="Arial" w:hint="cs"/>
          <w:noProof w:val="0"/>
          <w:rtl/>
        </w:rPr>
        <w:t xml:space="preserve"> בעניין השימוש החורג</w:t>
      </w:r>
      <w:r>
        <w:rPr>
          <w:rFonts w:ascii="Arial" w:hAnsi="Arial" w:hint="cs"/>
          <w:noProof w:val="0"/>
          <w:rtl/>
        </w:rPr>
        <w:t>. לאור טענות אלו</w:t>
      </w:r>
      <w:r w:rsidR="00322EAB">
        <w:rPr>
          <w:rFonts w:ascii="Arial" w:hAnsi="Arial" w:hint="cs"/>
          <w:noProof w:val="0"/>
          <w:rtl/>
        </w:rPr>
        <w:t>,</w:t>
      </w:r>
      <w:r>
        <w:rPr>
          <w:rFonts w:ascii="Arial" w:hAnsi="Arial" w:hint="cs"/>
          <w:noProof w:val="0"/>
          <w:rtl/>
        </w:rPr>
        <w:t xml:space="preserve"> צמצמה ועדת הערר את התקופה</w:t>
      </w:r>
      <w:r w:rsidR="00322EAB">
        <w:rPr>
          <w:rFonts w:ascii="Arial" w:hAnsi="Arial" w:hint="cs"/>
          <w:noProof w:val="0"/>
          <w:rtl/>
        </w:rPr>
        <w:t xml:space="preserve"> בגינה יחויבו המערערות בהיטל השבחה</w:t>
      </w:r>
      <w:r>
        <w:rPr>
          <w:rFonts w:ascii="Arial" w:hAnsi="Arial" w:hint="cs"/>
          <w:noProof w:val="0"/>
          <w:rtl/>
        </w:rPr>
        <w:t>, כך ש</w:t>
      </w:r>
      <w:r w:rsidR="00322EAB">
        <w:rPr>
          <w:rFonts w:ascii="Arial" w:hAnsi="Arial" w:hint="cs"/>
          <w:noProof w:val="0"/>
          <w:rtl/>
        </w:rPr>
        <w:t xml:space="preserve">תקופה </w:t>
      </w:r>
      <w:r>
        <w:rPr>
          <w:rFonts w:ascii="Arial" w:hAnsi="Arial" w:hint="cs"/>
          <w:noProof w:val="0"/>
          <w:rtl/>
        </w:rPr>
        <w:t>זו תחל מיום 10.7.2013 ולא משנת 2010.</w:t>
      </w:r>
    </w:p>
    <w:p w:rsidR="00A95066" w:rsidRDefault="00D56A59" w:rsidP="00322EAB">
      <w:pPr>
        <w:pStyle w:val="ad"/>
        <w:spacing w:after="120" w:line="360" w:lineRule="auto"/>
        <w:ind w:left="510"/>
        <w:contextualSpacing w:val="0"/>
        <w:jc w:val="both"/>
        <w:rPr>
          <w:rFonts w:ascii="Arial" w:hAnsi="Arial"/>
          <w:noProof w:val="0"/>
        </w:rPr>
      </w:pPr>
      <w:r>
        <w:rPr>
          <w:rFonts w:ascii="Arial" w:hAnsi="Arial" w:hint="cs"/>
          <w:noProof w:val="0"/>
          <w:rtl/>
        </w:rPr>
        <w:t>חלק זה של ה</w:t>
      </w:r>
      <w:r w:rsidR="00322EAB">
        <w:rPr>
          <w:rFonts w:ascii="Arial" w:hAnsi="Arial" w:hint="cs"/>
          <w:noProof w:val="0"/>
          <w:rtl/>
        </w:rPr>
        <w:t>חלטת ועדת הערר</w:t>
      </w:r>
      <w:r>
        <w:rPr>
          <w:rFonts w:ascii="Arial" w:hAnsi="Arial" w:hint="cs"/>
          <w:noProof w:val="0"/>
          <w:rtl/>
        </w:rPr>
        <w:t xml:space="preserve"> אינו רלוונטי לערעור</w:t>
      </w:r>
      <w:r w:rsidR="00322EAB">
        <w:rPr>
          <w:rFonts w:ascii="Arial" w:hAnsi="Arial" w:hint="cs"/>
          <w:noProof w:val="0"/>
          <w:rtl/>
        </w:rPr>
        <w:t xml:space="preserve"> שלפניי</w:t>
      </w:r>
      <w:r>
        <w:rPr>
          <w:rFonts w:ascii="Arial" w:hAnsi="Arial" w:hint="cs"/>
          <w:noProof w:val="0"/>
          <w:rtl/>
        </w:rPr>
        <w:t>, אשר כאמור במסגרתו מתרכזות המערערות בטיעון העקרוני בדבר העדר היכולת לחייב בהיטל השבחה באופן רטרואקטיבי.</w:t>
      </w:r>
    </w:p>
    <w:p w:rsidR="00D56A59" w:rsidRDefault="00D56A59" w:rsidP="00322EAB">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החלק השני של החלטת ועדת הערר הינו החלק העקרוני, במסגרתו ועדת הערר מגיעה למסקנה</w:t>
      </w:r>
      <w:r w:rsidR="00322EAB">
        <w:rPr>
          <w:rFonts w:ascii="Arial" w:hAnsi="Arial" w:hint="cs"/>
          <w:noProof w:val="0"/>
          <w:rtl/>
        </w:rPr>
        <w:t>,</w:t>
      </w:r>
      <w:r>
        <w:rPr>
          <w:rFonts w:ascii="Arial" w:hAnsi="Arial" w:hint="cs"/>
          <w:noProof w:val="0"/>
          <w:rtl/>
        </w:rPr>
        <w:t xml:space="preserve"> כי החלטת הוועדה המקומית</w:t>
      </w:r>
      <w:r w:rsidR="00322EAB">
        <w:rPr>
          <w:rFonts w:ascii="Arial" w:hAnsi="Arial" w:hint="cs"/>
          <w:noProof w:val="0"/>
          <w:rtl/>
        </w:rPr>
        <w:t xml:space="preserve"> לאשר שימוש חורג</w:t>
      </w:r>
      <w:r>
        <w:rPr>
          <w:rFonts w:ascii="Arial" w:hAnsi="Arial" w:hint="cs"/>
          <w:noProof w:val="0"/>
          <w:rtl/>
        </w:rPr>
        <w:t xml:space="preserve"> יכולה להינתן גם ל</w:t>
      </w:r>
      <w:r w:rsidR="00322EAB">
        <w:rPr>
          <w:rFonts w:ascii="Arial" w:hAnsi="Arial" w:hint="cs"/>
          <w:noProof w:val="0"/>
          <w:rtl/>
        </w:rPr>
        <w:t xml:space="preserve">גבי </w:t>
      </w:r>
      <w:r>
        <w:rPr>
          <w:rFonts w:ascii="Arial" w:hAnsi="Arial" w:hint="cs"/>
          <w:noProof w:val="0"/>
          <w:rtl/>
        </w:rPr>
        <w:t xml:space="preserve">תקופה </w:t>
      </w:r>
      <w:r w:rsidR="00322EAB">
        <w:rPr>
          <w:rFonts w:ascii="Arial" w:hAnsi="Arial" w:hint="cs"/>
          <w:noProof w:val="0"/>
          <w:rtl/>
        </w:rPr>
        <w:t>ה</w:t>
      </w:r>
      <w:r>
        <w:rPr>
          <w:rFonts w:ascii="Arial" w:hAnsi="Arial" w:hint="cs"/>
          <w:noProof w:val="0"/>
          <w:rtl/>
        </w:rPr>
        <w:t>עבר, וכאשר ניתנת החלטה שכזו, אין מניעה לחייב בגי</w:t>
      </w:r>
      <w:r w:rsidR="00322EAB">
        <w:rPr>
          <w:rFonts w:ascii="Arial" w:hAnsi="Arial" w:hint="cs"/>
          <w:noProof w:val="0"/>
          <w:rtl/>
        </w:rPr>
        <w:t>ן העבר</w:t>
      </w:r>
      <w:r>
        <w:rPr>
          <w:rFonts w:ascii="Arial" w:hAnsi="Arial" w:hint="cs"/>
          <w:noProof w:val="0"/>
          <w:rtl/>
        </w:rPr>
        <w:t xml:space="preserve"> בהיטל השבחה.</w:t>
      </w:r>
    </w:p>
    <w:p w:rsidR="00D56A59" w:rsidRDefault="00D56A59" w:rsidP="001A570D">
      <w:pPr>
        <w:pStyle w:val="ad"/>
        <w:spacing w:after="120" w:line="360" w:lineRule="auto"/>
        <w:ind w:left="510"/>
        <w:contextualSpacing w:val="0"/>
        <w:jc w:val="both"/>
        <w:rPr>
          <w:rFonts w:ascii="Arial" w:hAnsi="Arial"/>
          <w:noProof w:val="0"/>
          <w:rtl/>
        </w:rPr>
      </w:pPr>
      <w:r>
        <w:rPr>
          <w:rFonts w:ascii="Arial" w:hAnsi="Arial" w:hint="cs"/>
          <w:noProof w:val="0"/>
          <w:rtl/>
        </w:rPr>
        <w:t>ועדת הער</w:t>
      </w:r>
      <w:r w:rsidR="00322EAB">
        <w:rPr>
          <w:rFonts w:ascii="Arial" w:hAnsi="Arial" w:hint="cs"/>
          <w:noProof w:val="0"/>
          <w:rtl/>
        </w:rPr>
        <w:t>ר מנמקת קביעה זו בנימוקים הבאים:</w:t>
      </w:r>
    </w:p>
    <w:p w:rsidR="00BD3C2E" w:rsidRDefault="00D56A59" w:rsidP="0009569D">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ראשית מסבירה ועדת הערר, כי חוק התכנון והבניה בכלל והתוספת השלישית בפרט </w:t>
      </w:r>
      <w:r w:rsidR="0009569D">
        <w:rPr>
          <w:rFonts w:ascii="Arial" w:hAnsi="Arial" w:hint="cs"/>
          <w:noProof w:val="0"/>
          <w:rtl/>
        </w:rPr>
        <w:t>מגדירים</w:t>
      </w:r>
      <w:r>
        <w:rPr>
          <w:rFonts w:ascii="Arial" w:hAnsi="Arial" w:hint="cs"/>
          <w:noProof w:val="0"/>
          <w:rtl/>
        </w:rPr>
        <w:t xml:space="preserve"> את אופן קביעת ההשבחה בגין אישור שימוש חורג, אולם לא את תקופת השימוש החורג, הנתונה לשיקול דעת מוסד התכנון. ועדת הערר מציינת</w:t>
      </w:r>
      <w:r w:rsidR="00322EAB">
        <w:rPr>
          <w:rFonts w:ascii="Arial" w:hAnsi="Arial" w:hint="cs"/>
          <w:noProof w:val="0"/>
          <w:rtl/>
        </w:rPr>
        <w:t>,</w:t>
      </w:r>
      <w:r>
        <w:rPr>
          <w:rFonts w:ascii="Arial" w:hAnsi="Arial" w:hint="cs"/>
          <w:noProof w:val="0"/>
          <w:rtl/>
        </w:rPr>
        <w:t xml:space="preserve"> כי אמנם סעיף 148 לחוק התכנון והבניה</w:t>
      </w:r>
      <w:r w:rsidR="00633405">
        <w:rPr>
          <w:rFonts w:ascii="Arial" w:hAnsi="Arial" w:hint="cs"/>
          <w:noProof w:val="0"/>
          <w:rtl/>
        </w:rPr>
        <w:t>, תשכ"ה-1965</w:t>
      </w:r>
      <w:r>
        <w:rPr>
          <w:rFonts w:ascii="Arial" w:hAnsi="Arial" w:hint="cs"/>
          <w:noProof w:val="0"/>
          <w:rtl/>
        </w:rPr>
        <w:t xml:space="preserve"> קובע כי שימוש חורג יינתן לתקופה מוגבלת, אולם הוא אינו מונע כי התקופה </w:t>
      </w:r>
      <w:r w:rsidR="00322EAB">
        <w:rPr>
          <w:rFonts w:ascii="Arial" w:hAnsi="Arial" w:hint="cs"/>
          <w:noProof w:val="0"/>
          <w:rtl/>
        </w:rPr>
        <w:t xml:space="preserve">המוגבלת </w:t>
      </w:r>
      <w:r>
        <w:rPr>
          <w:rFonts w:ascii="Arial" w:hAnsi="Arial" w:hint="cs"/>
          <w:noProof w:val="0"/>
          <w:rtl/>
        </w:rPr>
        <w:t xml:space="preserve">תתייחס גם לתקופה </w:t>
      </w:r>
      <w:r w:rsidRPr="00322EAB">
        <w:rPr>
          <w:rFonts w:ascii="Arial" w:hAnsi="Arial" w:hint="cs"/>
          <w:b/>
          <w:bCs/>
          <w:noProof w:val="0"/>
          <w:rtl/>
        </w:rPr>
        <w:t xml:space="preserve">טרם </w:t>
      </w:r>
      <w:r>
        <w:rPr>
          <w:rFonts w:ascii="Arial" w:hAnsi="Arial" w:hint="cs"/>
          <w:noProof w:val="0"/>
          <w:rtl/>
        </w:rPr>
        <w:t>מתן</w:t>
      </w:r>
      <w:r w:rsidR="00BD3C2E">
        <w:rPr>
          <w:rFonts w:ascii="Arial" w:hAnsi="Arial" w:hint="cs"/>
          <w:noProof w:val="0"/>
          <w:rtl/>
        </w:rPr>
        <w:t xml:space="preserve"> האישור.</w:t>
      </w:r>
    </w:p>
    <w:p w:rsidR="00D56A59" w:rsidRDefault="00BD3C2E" w:rsidP="00E65279">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בשלב השני (סעיף 62 להחלטתה) מנסה ועדת הערר להתמודד עם העובדה כי במקרה בו ניתן היתר לשימוש חורג בדיעבד, עליית השווי </w:t>
      </w:r>
      <w:r w:rsidR="00322EAB">
        <w:rPr>
          <w:rFonts w:ascii="Arial" w:hAnsi="Arial" w:hint="cs"/>
          <w:noProof w:val="0"/>
          <w:rtl/>
        </w:rPr>
        <w:t>הנובעת מ</w:t>
      </w:r>
      <w:r w:rsidR="0009569D">
        <w:rPr>
          <w:rFonts w:ascii="Arial" w:hAnsi="Arial" w:hint="cs"/>
          <w:noProof w:val="0"/>
          <w:rtl/>
        </w:rPr>
        <w:t>האישור</w:t>
      </w:r>
      <w:r w:rsidR="00322EAB">
        <w:rPr>
          <w:rFonts w:ascii="Arial" w:hAnsi="Arial" w:hint="cs"/>
          <w:noProof w:val="0"/>
          <w:rtl/>
        </w:rPr>
        <w:t xml:space="preserve"> </w:t>
      </w:r>
      <w:r>
        <w:rPr>
          <w:rFonts w:ascii="Arial" w:hAnsi="Arial" w:hint="cs"/>
          <w:noProof w:val="0"/>
          <w:rtl/>
        </w:rPr>
        <w:t>הינה</w:t>
      </w:r>
      <w:r w:rsidR="0009569D">
        <w:rPr>
          <w:rFonts w:ascii="Arial" w:hAnsi="Arial" w:hint="cs"/>
          <w:noProof w:val="0"/>
          <w:rtl/>
        </w:rPr>
        <w:t xml:space="preserve"> רק </w:t>
      </w:r>
      <w:r w:rsidR="00933DCE">
        <w:rPr>
          <w:rFonts w:ascii="Arial" w:hAnsi="Arial" w:hint="cs"/>
          <w:b/>
          <w:bCs/>
          <w:noProof w:val="0"/>
          <w:rtl/>
        </w:rPr>
        <w:t>לתקופה ש</w:t>
      </w:r>
      <w:r w:rsidRPr="00BD3C2E">
        <w:rPr>
          <w:rFonts w:ascii="Arial" w:hAnsi="Arial" w:hint="cs"/>
          <w:b/>
          <w:bCs/>
          <w:noProof w:val="0"/>
          <w:rtl/>
        </w:rPr>
        <w:t>לאחר</w:t>
      </w:r>
      <w:r>
        <w:rPr>
          <w:rFonts w:ascii="Arial" w:hAnsi="Arial" w:hint="cs"/>
          <w:noProof w:val="0"/>
          <w:rtl/>
        </w:rPr>
        <w:t xml:space="preserve"> מתן ההיתר לשימוש חורג</w:t>
      </w:r>
      <w:r w:rsidR="00933DCE">
        <w:rPr>
          <w:rFonts w:ascii="Arial" w:hAnsi="Arial" w:hint="cs"/>
          <w:noProof w:val="0"/>
          <w:rtl/>
        </w:rPr>
        <w:t xml:space="preserve"> ולא יכולה להשפיע על העבר</w:t>
      </w:r>
      <w:r>
        <w:rPr>
          <w:rFonts w:ascii="Arial" w:hAnsi="Arial" w:hint="cs"/>
          <w:noProof w:val="0"/>
          <w:rtl/>
        </w:rPr>
        <w:t>.</w:t>
      </w:r>
      <w:r w:rsidR="00E65279">
        <w:rPr>
          <w:rFonts w:ascii="Arial" w:hAnsi="Arial" w:hint="cs"/>
          <w:noProof w:val="0"/>
          <w:rtl/>
        </w:rPr>
        <w:t xml:space="preserve"> </w:t>
      </w:r>
      <w:r>
        <w:rPr>
          <w:rFonts w:ascii="Arial" w:hAnsi="Arial" w:hint="cs"/>
          <w:noProof w:val="0"/>
          <w:rtl/>
        </w:rPr>
        <w:t>ועדת הערר מסבירה כי היות ומדובר בשימוש בלתי חוקי, יש לחשב</w:t>
      </w:r>
      <w:r w:rsidR="0009569D">
        <w:rPr>
          <w:rFonts w:ascii="Arial" w:hAnsi="Arial" w:hint="cs"/>
          <w:noProof w:val="0"/>
          <w:rtl/>
        </w:rPr>
        <w:t xml:space="preserve"> את היטל ההשבחה כאילו ניתן מראש וזאת בהתעלם מכך השימוש היה בלתי חוקי.</w:t>
      </w:r>
    </w:p>
    <w:p w:rsidR="00BD3C2E" w:rsidRDefault="00BD3C2E" w:rsidP="00322EAB">
      <w:pPr>
        <w:pStyle w:val="ad"/>
        <w:spacing w:after="120" w:line="360" w:lineRule="auto"/>
        <w:ind w:left="510"/>
        <w:contextualSpacing w:val="0"/>
        <w:jc w:val="both"/>
        <w:rPr>
          <w:rFonts w:ascii="Arial" w:hAnsi="Arial"/>
          <w:noProof w:val="0"/>
          <w:rtl/>
        </w:rPr>
      </w:pPr>
      <w:r>
        <w:rPr>
          <w:rFonts w:ascii="Arial" w:hAnsi="Arial" w:hint="cs"/>
          <w:noProof w:val="0"/>
          <w:rtl/>
        </w:rPr>
        <w:t xml:space="preserve">ועדת הערר מנמקת </w:t>
      </w:r>
      <w:r w:rsidR="00322EAB">
        <w:rPr>
          <w:rFonts w:ascii="Arial" w:hAnsi="Arial" w:hint="cs"/>
          <w:noProof w:val="0"/>
          <w:rtl/>
        </w:rPr>
        <w:t xml:space="preserve">קביעה זו בכך שפרשנותה </w:t>
      </w:r>
      <w:r>
        <w:rPr>
          <w:rFonts w:ascii="Arial" w:hAnsi="Arial" w:hint="cs"/>
          <w:noProof w:val="0"/>
          <w:rtl/>
        </w:rPr>
        <w:t>תואמת את התייחסות הפסיקה לשימוש בלתי חוקי בעת קביעת היטל השבחה</w:t>
      </w:r>
      <w:r w:rsidR="00322EAB">
        <w:rPr>
          <w:rFonts w:ascii="Arial" w:hAnsi="Arial" w:hint="cs"/>
          <w:noProof w:val="0"/>
          <w:rtl/>
        </w:rPr>
        <w:t>, כך שיש להתעלם משימושים בלתי חוקיים</w:t>
      </w:r>
      <w:r>
        <w:rPr>
          <w:rFonts w:ascii="Arial" w:hAnsi="Arial" w:hint="cs"/>
          <w:noProof w:val="0"/>
          <w:rtl/>
        </w:rPr>
        <w:t>. עוד מסבירה ועדת הערר, כי ראוי במקרה זה לסטות ממבחן השוק</w:t>
      </w:r>
      <w:r w:rsidR="00322EAB">
        <w:rPr>
          <w:rFonts w:ascii="Arial" w:hAnsi="Arial" w:hint="cs"/>
          <w:noProof w:val="0"/>
          <w:rtl/>
        </w:rPr>
        <w:t xml:space="preserve"> האובייקטיבי</w:t>
      </w:r>
      <w:r>
        <w:rPr>
          <w:rFonts w:ascii="Arial" w:hAnsi="Arial" w:hint="cs"/>
          <w:noProof w:val="0"/>
          <w:rtl/>
        </w:rPr>
        <w:t>, ולקבוע שווי שוק נורמטיבי וממנו עליית ערך נורמטיבית</w:t>
      </w:r>
      <w:r w:rsidR="00322EAB">
        <w:rPr>
          <w:rFonts w:ascii="Arial" w:hAnsi="Arial" w:hint="cs"/>
          <w:noProof w:val="0"/>
          <w:rtl/>
        </w:rPr>
        <w:t>,</w:t>
      </w:r>
      <w:r>
        <w:rPr>
          <w:rFonts w:ascii="Arial" w:hAnsi="Arial" w:hint="cs"/>
          <w:noProof w:val="0"/>
          <w:rtl/>
        </w:rPr>
        <w:t xml:space="preserve"> </w:t>
      </w:r>
      <w:r w:rsidR="00322EAB">
        <w:rPr>
          <w:rFonts w:ascii="Arial" w:hAnsi="Arial" w:hint="cs"/>
          <w:noProof w:val="0"/>
          <w:rtl/>
        </w:rPr>
        <w:t>הנובעת מ</w:t>
      </w:r>
      <w:r>
        <w:rPr>
          <w:rFonts w:ascii="Arial" w:hAnsi="Arial" w:hint="cs"/>
          <w:noProof w:val="0"/>
          <w:rtl/>
        </w:rPr>
        <w:t xml:space="preserve">אישור של שימוש חורג </w:t>
      </w:r>
      <w:r w:rsidRPr="00322EAB">
        <w:rPr>
          <w:rFonts w:ascii="Arial" w:hAnsi="Arial" w:hint="cs"/>
          <w:b/>
          <w:bCs/>
          <w:noProof w:val="0"/>
          <w:rtl/>
        </w:rPr>
        <w:t>בדיעבד</w:t>
      </w:r>
      <w:r>
        <w:rPr>
          <w:rFonts w:ascii="Arial" w:hAnsi="Arial" w:hint="cs"/>
          <w:noProof w:val="0"/>
          <w:rtl/>
        </w:rPr>
        <w:t>.</w:t>
      </w:r>
    </w:p>
    <w:p w:rsidR="00C039B5" w:rsidRDefault="00C039B5">
      <w:pPr>
        <w:bidi w:val="0"/>
        <w:rPr>
          <w:rFonts w:ascii="Arial" w:hAnsi="Arial"/>
          <w:noProof w:val="0"/>
          <w:rtl/>
        </w:rPr>
      </w:pPr>
      <w:r>
        <w:rPr>
          <w:rFonts w:ascii="Arial" w:hAnsi="Arial"/>
          <w:noProof w:val="0"/>
          <w:rtl/>
        </w:rPr>
        <w:br w:type="page"/>
      </w:r>
    </w:p>
    <w:p w:rsidR="00BD3C2E" w:rsidRPr="002217E3" w:rsidRDefault="00017DC4" w:rsidP="00322EAB">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lastRenderedPageBreak/>
        <w:t xml:space="preserve">ועדת הערר מודעת לכך כי קיימת בעיה </w:t>
      </w:r>
      <w:r w:rsidR="00322EAB">
        <w:rPr>
          <w:rFonts w:ascii="Arial" w:hAnsi="Arial" w:hint="cs"/>
          <w:noProof w:val="0"/>
          <w:rtl/>
        </w:rPr>
        <w:t>בנושא</w:t>
      </w:r>
      <w:r>
        <w:rPr>
          <w:rFonts w:ascii="Arial" w:hAnsi="Arial" w:hint="cs"/>
          <w:noProof w:val="0"/>
          <w:rtl/>
        </w:rPr>
        <w:t xml:space="preserve"> </w:t>
      </w:r>
      <w:r w:rsidR="00322EAB">
        <w:rPr>
          <w:rFonts w:ascii="Arial" w:hAnsi="Arial" w:hint="cs"/>
          <w:noProof w:val="0"/>
          <w:rtl/>
        </w:rPr>
        <w:t>ה</w:t>
      </w:r>
      <w:r>
        <w:rPr>
          <w:rFonts w:ascii="Arial" w:hAnsi="Arial" w:hint="cs"/>
          <w:noProof w:val="0"/>
          <w:rtl/>
        </w:rPr>
        <w:t>קשר</w:t>
      </w:r>
      <w:r w:rsidR="00322EAB">
        <w:rPr>
          <w:rFonts w:ascii="Arial" w:hAnsi="Arial" w:hint="cs"/>
          <w:noProof w:val="0"/>
          <w:rtl/>
        </w:rPr>
        <w:t xml:space="preserve"> ה</w:t>
      </w:r>
      <w:r>
        <w:rPr>
          <w:rFonts w:ascii="Arial" w:hAnsi="Arial" w:hint="cs"/>
          <w:noProof w:val="0"/>
          <w:rtl/>
        </w:rPr>
        <w:t>סיבתי בין אישור השימוש החורג לבין עליית הערך, כך שאישור שימוש חורג בשנת 2015 לא יכול לגרום לעליית ערך בשנת 2013, אולם מסבירה בסעיף 64 להחלטתה כי "יש לראותו ככזה", כלומר כ</w:t>
      </w:r>
      <w:r w:rsidR="003D7ADA">
        <w:rPr>
          <w:rFonts w:ascii="Arial" w:hAnsi="Arial" w:hint="cs"/>
          <w:noProof w:val="0"/>
          <w:rtl/>
        </w:rPr>
        <w:t xml:space="preserve">י הקשר הסיבתי </w:t>
      </w:r>
      <w:r>
        <w:rPr>
          <w:rFonts w:ascii="Arial" w:hAnsi="Arial" w:hint="cs"/>
          <w:noProof w:val="0"/>
          <w:rtl/>
        </w:rPr>
        <w:t>חל לאחור, וזאת על מנת למנוע ש- "חוטא יצא נשכר".</w:t>
      </w:r>
    </w:p>
    <w:p w:rsidR="00017DC4" w:rsidRDefault="00017DC4" w:rsidP="003D7ADA">
      <w:pPr>
        <w:pStyle w:val="ad"/>
        <w:numPr>
          <w:ilvl w:val="0"/>
          <w:numId w:val="1"/>
        </w:numPr>
        <w:spacing w:after="120" w:line="360" w:lineRule="auto"/>
        <w:ind w:left="510" w:hanging="567"/>
        <w:contextualSpacing w:val="0"/>
        <w:jc w:val="both"/>
        <w:rPr>
          <w:rFonts w:ascii="Arial" w:hAnsi="Arial"/>
          <w:noProof w:val="0"/>
        </w:rPr>
      </w:pPr>
      <w:r w:rsidRPr="002217E3">
        <w:rPr>
          <w:rFonts w:ascii="Arial" w:hAnsi="Arial" w:hint="cs"/>
          <w:noProof w:val="0"/>
          <w:rtl/>
        </w:rPr>
        <w:t xml:space="preserve">ועדת הערר עורכת הבחנה בין מקרה זה למקרים שנדונו בעניין </w:t>
      </w:r>
      <w:r w:rsidRPr="002217E3">
        <w:rPr>
          <w:rFonts w:ascii="Arial" w:hAnsi="Arial"/>
          <w:noProof w:val="0"/>
          <w:rtl/>
        </w:rPr>
        <w:t xml:space="preserve">ע"א 7210-01 </w:t>
      </w:r>
      <w:r w:rsidRPr="002217E3">
        <w:rPr>
          <w:rFonts w:ascii="Arial" w:hAnsi="Arial"/>
          <w:b/>
          <w:bCs/>
          <w:noProof w:val="0"/>
          <w:rtl/>
        </w:rPr>
        <w:t>עיריית נתניה נ' עיזבון המנוחה רחל גלמבוצקי</w:t>
      </w:r>
      <w:r w:rsidRPr="002217E3">
        <w:rPr>
          <w:rFonts w:ascii="Arial" w:hAnsi="Arial" w:hint="cs"/>
          <w:noProof w:val="0"/>
          <w:rtl/>
        </w:rPr>
        <w:t xml:space="preserve"> [פורסם במאגר נבו] (5.5.2004) (להלן: "</w:t>
      </w:r>
      <w:r w:rsidRPr="002217E3">
        <w:rPr>
          <w:rFonts w:ascii="Arial" w:hAnsi="Arial" w:hint="cs"/>
          <w:b/>
          <w:bCs/>
          <w:noProof w:val="0"/>
          <w:rtl/>
        </w:rPr>
        <w:t>גלמבוצקי"</w:t>
      </w:r>
      <w:r w:rsidRPr="002217E3">
        <w:rPr>
          <w:rFonts w:ascii="Arial" w:hAnsi="Arial" w:hint="cs"/>
          <w:noProof w:val="0"/>
          <w:rtl/>
        </w:rPr>
        <w:t xml:space="preserve">)  ובעניין </w:t>
      </w:r>
      <w:r w:rsidRPr="002217E3">
        <w:rPr>
          <w:rFonts w:ascii="Arial" w:hAnsi="Arial"/>
          <w:noProof w:val="0"/>
          <w:rtl/>
        </w:rPr>
        <w:t xml:space="preserve">ערר (חיפה) 8005-01-18 </w:t>
      </w:r>
      <w:r w:rsidRPr="002217E3">
        <w:rPr>
          <w:rFonts w:ascii="Arial" w:hAnsi="Arial"/>
          <w:b/>
          <w:bCs/>
          <w:noProof w:val="0"/>
          <w:rtl/>
        </w:rPr>
        <w:t>איזנברג שלמה ואסתר נ' הועדה המקומית לתכנון ולבניה חיפה</w:t>
      </w:r>
      <w:r w:rsidRPr="002217E3">
        <w:rPr>
          <w:rFonts w:ascii="Arial" w:hAnsi="Arial" w:hint="cs"/>
          <w:b/>
          <w:bCs/>
          <w:noProof w:val="0"/>
          <w:rtl/>
        </w:rPr>
        <w:t xml:space="preserve"> </w:t>
      </w:r>
      <w:r w:rsidRPr="002217E3">
        <w:rPr>
          <w:rFonts w:ascii="Arial" w:hAnsi="Arial" w:hint="cs"/>
          <w:noProof w:val="0"/>
          <w:rtl/>
        </w:rPr>
        <w:t>[פורסם במאגר נבו] (27.06.19</w:t>
      </w:r>
      <w:r w:rsidR="002217E3" w:rsidRPr="002217E3">
        <w:rPr>
          <w:rFonts w:ascii="Arial" w:hAnsi="Arial" w:hint="cs"/>
          <w:noProof w:val="0"/>
          <w:rtl/>
        </w:rPr>
        <w:t xml:space="preserve">) (להלן: </w:t>
      </w:r>
      <w:r w:rsidR="002217E3" w:rsidRPr="002217E3">
        <w:rPr>
          <w:rFonts w:ascii="Arial" w:hAnsi="Arial" w:hint="cs"/>
          <w:b/>
          <w:bCs/>
          <w:noProof w:val="0"/>
          <w:rtl/>
        </w:rPr>
        <w:t>"עניין איזנברג"</w:t>
      </w:r>
      <w:r w:rsidR="002217E3" w:rsidRPr="002217E3">
        <w:rPr>
          <w:rFonts w:ascii="Arial" w:hAnsi="Arial" w:hint="cs"/>
          <w:noProof w:val="0"/>
          <w:rtl/>
        </w:rPr>
        <w:t>)</w:t>
      </w:r>
      <w:r w:rsidR="002217E3">
        <w:rPr>
          <w:rFonts w:ascii="Arial" w:hAnsi="Arial" w:hint="cs"/>
          <w:noProof w:val="0"/>
          <w:rtl/>
        </w:rPr>
        <w:t>, וזאת לאור סברתה כי הנסיבות כאן שונות</w:t>
      </w:r>
      <w:r w:rsidR="003D7ADA">
        <w:rPr>
          <w:rFonts w:ascii="Arial" w:hAnsi="Arial" w:hint="cs"/>
          <w:noProof w:val="0"/>
          <w:rtl/>
        </w:rPr>
        <w:t xml:space="preserve">, בעיקר לאור העובדה כי </w:t>
      </w:r>
      <w:r w:rsidR="002217E3">
        <w:rPr>
          <w:rFonts w:ascii="Arial" w:hAnsi="Arial" w:hint="cs"/>
          <w:noProof w:val="0"/>
          <w:rtl/>
        </w:rPr>
        <w:t>קיימת החלטת מפורשת של הוועדה המקומית להתיר שימוש חורג רטרואקטיבי.</w:t>
      </w:r>
    </w:p>
    <w:p w:rsidR="00205767" w:rsidRDefault="00205767" w:rsidP="0009569D">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ועדת הערר מתייחסת גם לפסק הדין בעניין </w:t>
      </w:r>
      <w:r w:rsidRPr="00205767">
        <w:rPr>
          <w:rFonts w:ascii="Arial" w:hAnsi="Arial" w:hint="cs"/>
          <w:b/>
          <w:bCs/>
          <w:noProof w:val="0"/>
          <w:rtl/>
        </w:rPr>
        <w:t>נקר</w:t>
      </w:r>
      <w:r>
        <w:rPr>
          <w:rFonts w:ascii="Arial" w:hAnsi="Arial" w:hint="cs"/>
          <w:noProof w:val="0"/>
          <w:rtl/>
        </w:rPr>
        <w:t xml:space="preserve"> לעיל, וקובעת כי פסק דין זה עוסק בשאלת מועד המימוש כהגדרתו בסעיף 1(א)(2) לתוספת השלישית, כלומר במקרה בו הקדימה בניה ללא היתר תכנית, ומכאן הוא אינו רלוונטי לחיוב בהיטל השבחה מכוח החלטה של הוועדה המקומית להיתר שימוש חורג לעבר.</w:t>
      </w:r>
    </w:p>
    <w:p w:rsidR="003D7ADA" w:rsidRDefault="003D7ADA" w:rsidP="001A570D">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לאחר שעיינתי בטענות הצדדים ובהחלטת ועדת הערר, אני סבור כי החלטת ועדת הערר אינה יכולה לעמוד, וכי לא ניתן, ואף לא ראוי, לגבות היטל השבחה</w:t>
      </w:r>
      <w:r w:rsidR="0009569D">
        <w:rPr>
          <w:rFonts w:ascii="Arial" w:hAnsi="Arial" w:hint="cs"/>
          <w:noProof w:val="0"/>
          <w:rtl/>
        </w:rPr>
        <w:t>, שלא במסגרת הליכי אכיפה,</w:t>
      </w:r>
      <w:r>
        <w:rPr>
          <w:rFonts w:ascii="Arial" w:hAnsi="Arial" w:hint="cs"/>
          <w:noProof w:val="0"/>
          <w:rtl/>
        </w:rPr>
        <w:t xml:space="preserve"> לתקופה הקודמת למועד האקט התכנוני, ואנמק.</w:t>
      </w:r>
    </w:p>
    <w:p w:rsidR="00640EFA" w:rsidRDefault="00640EFA" w:rsidP="001A570D">
      <w:pPr>
        <w:spacing w:after="120" w:line="360" w:lineRule="auto"/>
        <w:ind w:left="-57"/>
        <w:jc w:val="both"/>
        <w:rPr>
          <w:rFonts w:ascii="Arial" w:hAnsi="Arial"/>
          <w:b/>
          <w:bCs/>
          <w:noProof w:val="0"/>
          <w:u w:val="single"/>
        </w:rPr>
      </w:pPr>
      <w:r>
        <w:rPr>
          <w:rFonts w:ascii="Arial" w:hAnsi="Arial"/>
          <w:b/>
          <w:bCs/>
          <w:noProof w:val="0"/>
          <w:u w:val="single"/>
          <w:rtl/>
        </w:rPr>
        <w:t>כללי - התערבות בית המשפט לעניינים מנהליים בהחלטות ועדת הערר בעניין היטל השבחה</w:t>
      </w:r>
    </w:p>
    <w:p w:rsidR="00640EFA" w:rsidRDefault="00640EFA" w:rsidP="001A570D">
      <w:pPr>
        <w:pStyle w:val="ad"/>
        <w:numPr>
          <w:ilvl w:val="0"/>
          <w:numId w:val="1"/>
        </w:numPr>
        <w:spacing w:after="120" w:line="360" w:lineRule="auto"/>
        <w:ind w:left="510" w:hanging="567"/>
        <w:contextualSpacing w:val="0"/>
        <w:jc w:val="both"/>
        <w:rPr>
          <w:rFonts w:ascii="Arial" w:hAnsi="Arial"/>
          <w:noProof w:val="0"/>
          <w:rtl/>
        </w:rPr>
      </w:pPr>
      <w:r>
        <w:rPr>
          <w:rFonts w:ascii="Arial" w:hAnsi="Arial"/>
          <w:noProof w:val="0"/>
          <w:rtl/>
        </w:rPr>
        <w:t xml:space="preserve">הדרך הדיונית לקביעת היטל ההשבחה המוטל על הנישום מוסדרת בסעיף 14 לתוספת השלישית לחוק התכנון והבניה, התשכ"ה - 1965 (להלן: </w:t>
      </w:r>
      <w:r w:rsidRPr="00640EFA">
        <w:rPr>
          <w:rFonts w:ascii="Arial" w:hAnsi="Arial"/>
          <w:b/>
          <w:bCs/>
          <w:noProof w:val="0"/>
          <w:rtl/>
        </w:rPr>
        <w:t>"התוספת השלישית"; "חוק התכנון והבניה"</w:t>
      </w:r>
      <w:r>
        <w:rPr>
          <w:rFonts w:ascii="Arial" w:hAnsi="Arial"/>
          <w:noProof w:val="0"/>
          <w:rtl/>
        </w:rPr>
        <w:t>). כאשר, בקווים כלליים, השלב הראשון הינו הליך בפני שמאי מכריע והשלב השני ערעור לוועדת הערר לפיצויים ולהיטל השבחה על השומה המכרעת.</w:t>
      </w:r>
    </w:p>
    <w:p w:rsidR="00640EFA" w:rsidRDefault="00640EFA" w:rsidP="001A570D">
      <w:pPr>
        <w:pStyle w:val="ad"/>
        <w:spacing w:after="120" w:line="360" w:lineRule="auto"/>
        <w:ind w:left="510"/>
        <w:contextualSpacing w:val="0"/>
        <w:jc w:val="both"/>
        <w:rPr>
          <w:rFonts w:ascii="Arial" w:hAnsi="Arial"/>
          <w:noProof w:val="0"/>
        </w:rPr>
      </w:pPr>
      <w:r>
        <w:rPr>
          <w:rFonts w:ascii="Arial" w:hAnsi="Arial"/>
          <w:noProof w:val="0"/>
          <w:rtl/>
        </w:rPr>
        <w:t>על החלטת ועדת הערר, קיימת זכות ערעור לבית משפט זה.</w:t>
      </w:r>
    </w:p>
    <w:p w:rsidR="00640EFA" w:rsidRDefault="00640EFA" w:rsidP="001A570D">
      <w:pPr>
        <w:pStyle w:val="ad"/>
        <w:numPr>
          <w:ilvl w:val="0"/>
          <w:numId w:val="1"/>
        </w:numPr>
        <w:spacing w:after="120" w:line="360" w:lineRule="auto"/>
        <w:ind w:left="510" w:hanging="567"/>
        <w:contextualSpacing w:val="0"/>
        <w:jc w:val="both"/>
        <w:rPr>
          <w:rFonts w:ascii="Arial" w:hAnsi="Arial"/>
          <w:noProof w:val="0"/>
          <w:rtl/>
        </w:rPr>
      </w:pPr>
      <w:r>
        <w:rPr>
          <w:rFonts w:ascii="Arial" w:hAnsi="Arial"/>
          <w:noProof w:val="0"/>
          <w:rtl/>
        </w:rPr>
        <w:t xml:space="preserve">ראוי להדגיש כי הן השמאי המכריע והן ועדת הערר הינם גורמים </w:t>
      </w:r>
      <w:r w:rsidRPr="00640EFA">
        <w:rPr>
          <w:rFonts w:ascii="Arial" w:hAnsi="Arial"/>
          <w:noProof w:val="0"/>
          <w:rtl/>
        </w:rPr>
        <w:t>מקצועיים</w:t>
      </w:r>
      <w:r>
        <w:rPr>
          <w:rFonts w:ascii="Arial" w:hAnsi="Arial"/>
          <w:noProof w:val="0"/>
          <w:rtl/>
        </w:rPr>
        <w:t xml:space="preserve">, להם מומחיות ספציפית לצורך קביעת היטל ההשבחה. </w:t>
      </w:r>
    </w:p>
    <w:p w:rsidR="00640EFA" w:rsidRDefault="00640EFA" w:rsidP="000B7B11">
      <w:pPr>
        <w:pStyle w:val="ad"/>
        <w:spacing w:after="120" w:line="360" w:lineRule="auto"/>
        <w:ind w:left="510"/>
        <w:contextualSpacing w:val="0"/>
        <w:jc w:val="both"/>
        <w:rPr>
          <w:rFonts w:ascii="Arial" w:hAnsi="Arial"/>
          <w:noProof w:val="0"/>
        </w:rPr>
      </w:pPr>
      <w:r>
        <w:rPr>
          <w:rFonts w:ascii="Arial" w:hAnsi="Arial"/>
          <w:noProof w:val="0"/>
          <w:rtl/>
        </w:rPr>
        <w:t xml:space="preserve">בית המשפט הכיר במעמדם המקצועי של השמאי המכריע ושל ועדת הערר. ר', לגבי מעמדו של השמאי המכריע, בר"ם 6744/14 </w:t>
      </w:r>
      <w:r w:rsidRPr="00640EFA">
        <w:rPr>
          <w:rFonts w:ascii="Arial" w:hAnsi="Arial"/>
          <w:b/>
          <w:bCs/>
          <w:noProof w:val="0"/>
          <w:rtl/>
        </w:rPr>
        <w:t>ג'י ישראל מרכזים מסחריים בע"מ נ' הוועדה המקומית לתכנון ולבניה ראשון לציון</w:t>
      </w:r>
      <w:r>
        <w:rPr>
          <w:rFonts w:ascii="Arial" w:hAnsi="Arial"/>
          <w:noProof w:val="0"/>
          <w:rtl/>
        </w:rPr>
        <w:t xml:space="preserve"> [פורסם במאגר נבו] (5.3.2012)</w:t>
      </w:r>
      <w:r>
        <w:rPr>
          <w:rFonts w:ascii="Arial" w:hAnsi="Arial" w:hint="cs"/>
          <w:noProof w:val="0"/>
          <w:rtl/>
        </w:rPr>
        <w:t>.</w:t>
      </w:r>
    </w:p>
    <w:p w:rsidR="00640EFA" w:rsidRDefault="00640EFA" w:rsidP="001A570D">
      <w:pPr>
        <w:pStyle w:val="ad"/>
        <w:spacing w:after="120" w:line="360" w:lineRule="auto"/>
        <w:ind w:left="510"/>
        <w:contextualSpacing w:val="0"/>
        <w:jc w:val="both"/>
        <w:rPr>
          <w:rFonts w:ascii="Arial" w:hAnsi="Arial"/>
          <w:noProof w:val="0"/>
          <w:rtl/>
        </w:rPr>
      </w:pPr>
      <w:r>
        <w:rPr>
          <w:rFonts w:ascii="Arial" w:hAnsi="Arial"/>
          <w:noProof w:val="0"/>
          <w:rtl/>
        </w:rPr>
        <w:lastRenderedPageBreak/>
        <w:t xml:space="preserve">ולגבי מעמדה של ועדת הערר, ר' בר"מ 1803/12 </w:t>
      </w:r>
      <w:r w:rsidRPr="00640EFA">
        <w:rPr>
          <w:rFonts w:ascii="Arial" w:hAnsi="Arial"/>
          <w:b/>
          <w:bCs/>
          <w:noProof w:val="0"/>
          <w:rtl/>
        </w:rPr>
        <w:t xml:space="preserve">פ.ש.ח חברה לבנין בע"מ נ' הוועדה המקומית לתכנון ולבניה פתח תקווה </w:t>
      </w:r>
      <w:r>
        <w:rPr>
          <w:rFonts w:ascii="Arial" w:hAnsi="Arial"/>
          <w:noProof w:val="0"/>
          <w:rtl/>
        </w:rPr>
        <w:t>[פורסם במאגר נבו] (13.5.2012)</w:t>
      </w:r>
      <w:r>
        <w:rPr>
          <w:rFonts w:ascii="Arial" w:hAnsi="Arial" w:hint="cs"/>
          <w:noProof w:val="0"/>
          <w:rtl/>
        </w:rPr>
        <w:t>.</w:t>
      </w:r>
    </w:p>
    <w:p w:rsidR="00640EFA" w:rsidRDefault="00640EFA" w:rsidP="001A570D">
      <w:pPr>
        <w:pStyle w:val="ad"/>
        <w:numPr>
          <w:ilvl w:val="0"/>
          <w:numId w:val="1"/>
        </w:numPr>
        <w:spacing w:after="120" w:line="360" w:lineRule="auto"/>
        <w:ind w:left="510" w:hanging="567"/>
        <w:contextualSpacing w:val="0"/>
        <w:jc w:val="both"/>
        <w:rPr>
          <w:rFonts w:ascii="Arial" w:hAnsi="Arial"/>
          <w:noProof w:val="0"/>
          <w:rtl/>
        </w:rPr>
      </w:pPr>
      <w:r>
        <w:rPr>
          <w:rFonts w:ascii="Arial" w:hAnsi="Arial"/>
          <w:noProof w:val="0"/>
          <w:rtl/>
        </w:rPr>
        <w:t>ממעמדם</w:t>
      </w:r>
      <w:r>
        <w:rPr>
          <w:rFonts w:ascii="Arial" w:hAnsi="Arial" w:hint="cs"/>
          <w:noProof w:val="0"/>
          <w:rtl/>
        </w:rPr>
        <w:t xml:space="preserve"> </w:t>
      </w:r>
      <w:r>
        <w:rPr>
          <w:rFonts w:ascii="Arial" w:hAnsi="Arial"/>
          <w:noProof w:val="0"/>
          <w:rtl/>
        </w:rPr>
        <w:t xml:space="preserve">המקצועי המיוחד של השמאי המכריע וועדת הערר, ומעצם היותם גופים מקצועיים, נגזרות שתי מסקנות חשובות לענייננו. </w:t>
      </w:r>
    </w:p>
    <w:p w:rsidR="00640EFA" w:rsidRDefault="00640EFA" w:rsidP="001A570D">
      <w:pPr>
        <w:pStyle w:val="ad"/>
        <w:spacing w:after="120" w:line="360" w:lineRule="auto"/>
        <w:ind w:left="510"/>
        <w:contextualSpacing w:val="0"/>
        <w:jc w:val="both"/>
        <w:rPr>
          <w:rFonts w:ascii="Arial" w:hAnsi="Arial"/>
          <w:noProof w:val="0"/>
          <w:rtl/>
        </w:rPr>
      </w:pPr>
      <w:r>
        <w:rPr>
          <w:rFonts w:ascii="Arial" w:hAnsi="Arial"/>
          <w:noProof w:val="0"/>
          <w:rtl/>
        </w:rPr>
        <w:t>המסקנה הראשונה היא, כי ועדת הערר תתערב בממצאים השמאיים שקבע השמאי המכריע רק במקרים חריגים ונדירים.</w:t>
      </w:r>
    </w:p>
    <w:p w:rsidR="00640EFA" w:rsidRDefault="00640EFA" w:rsidP="001A570D">
      <w:pPr>
        <w:pStyle w:val="ad"/>
        <w:spacing w:after="120" w:line="360" w:lineRule="auto"/>
        <w:ind w:left="510"/>
        <w:contextualSpacing w:val="0"/>
        <w:jc w:val="both"/>
        <w:rPr>
          <w:rFonts w:ascii="Arial" w:hAnsi="Arial"/>
          <w:noProof w:val="0"/>
          <w:rtl/>
        </w:rPr>
      </w:pPr>
      <w:r>
        <w:rPr>
          <w:rFonts w:ascii="Arial" w:hAnsi="Arial"/>
          <w:noProof w:val="0"/>
          <w:rtl/>
        </w:rPr>
        <w:t xml:space="preserve">לעניין התערבות ועדת הערר בהכרעת השמאי המכריע, ר', לדוגמא, בר"ם 3644/13 </w:t>
      </w:r>
      <w:r w:rsidRPr="00640EFA">
        <w:rPr>
          <w:rFonts w:ascii="Arial" w:hAnsi="Arial"/>
          <w:b/>
          <w:bCs/>
          <w:noProof w:val="0"/>
          <w:rtl/>
        </w:rPr>
        <w:t>משרד התחבורה נ' גלר דוד ואארורה ואח'</w:t>
      </w:r>
      <w:r>
        <w:rPr>
          <w:rFonts w:ascii="Arial" w:hAnsi="Arial"/>
          <w:noProof w:val="0"/>
          <w:rtl/>
        </w:rPr>
        <w:t xml:space="preserve"> [פורסם במאגר נבו] (23.04.14)</w:t>
      </w:r>
      <w:r>
        <w:rPr>
          <w:rFonts w:ascii="Arial" w:hAnsi="Arial" w:hint="cs"/>
          <w:noProof w:val="0"/>
          <w:rtl/>
        </w:rPr>
        <w:t>.</w:t>
      </w:r>
      <w:r>
        <w:rPr>
          <w:rFonts w:ascii="Arial" w:hAnsi="Arial"/>
          <w:noProof w:val="0"/>
          <w:rtl/>
        </w:rPr>
        <w:t xml:space="preserve"> עם זאת, ראוי לציין כי יש להבחין בין ההתערבות המצומצמת של ועדת הערר בעניינים שמאיים ומקצועיים, אשר תעשה רק במקרים בהם נפלה טעות חמורה בשומה, לבין התערבות ועדת הערר </w:t>
      </w:r>
      <w:r>
        <w:rPr>
          <w:rFonts w:ascii="Arial" w:hAnsi="Arial"/>
          <w:b/>
          <w:bCs/>
          <w:noProof w:val="0"/>
          <w:rtl/>
        </w:rPr>
        <w:t>בעניינים משפטיים ובפרשנות החוק או התכנון</w:t>
      </w:r>
      <w:r>
        <w:rPr>
          <w:rFonts w:ascii="Arial" w:hAnsi="Arial"/>
          <w:noProof w:val="0"/>
          <w:rtl/>
        </w:rPr>
        <w:t xml:space="preserve">, כאשר בנושאים אלו אין לשמאי המכריע יתרון על פני ועדת הערר. לעניין ההבחנה בין היקף התערבות ועדת הערר במחלוקת מקצועית-שמאית להיקף ההתערבות במחלוקת משפטית, ר' לדוגמא ערר (י-ם) 267/12 </w:t>
      </w:r>
      <w:r>
        <w:rPr>
          <w:rFonts w:ascii="Arial" w:hAnsi="Arial"/>
          <w:b/>
          <w:bCs/>
          <w:noProof w:val="0"/>
          <w:rtl/>
        </w:rPr>
        <w:t>ועד עדת המערבים נ' משה שחר ואח'</w:t>
      </w:r>
      <w:r>
        <w:rPr>
          <w:rFonts w:ascii="Arial" w:hAnsi="Arial"/>
          <w:noProof w:val="0"/>
          <w:rtl/>
        </w:rPr>
        <w:t xml:space="preserve"> [פורסם במאגר נבו] (27.06.2013)</w:t>
      </w:r>
      <w:r>
        <w:rPr>
          <w:rFonts w:ascii="Arial" w:hAnsi="Arial"/>
          <w:b/>
          <w:bCs/>
          <w:noProof w:val="0"/>
          <w:rtl/>
        </w:rPr>
        <w:t xml:space="preserve">. </w:t>
      </w:r>
    </w:p>
    <w:p w:rsidR="00640EFA" w:rsidRDefault="00640EFA" w:rsidP="001A570D">
      <w:pPr>
        <w:pStyle w:val="ad"/>
        <w:numPr>
          <w:ilvl w:val="0"/>
          <w:numId w:val="1"/>
        </w:numPr>
        <w:spacing w:after="120" w:line="360" w:lineRule="auto"/>
        <w:ind w:left="510" w:hanging="567"/>
        <w:contextualSpacing w:val="0"/>
        <w:jc w:val="both"/>
        <w:rPr>
          <w:rFonts w:ascii="Arial" w:hAnsi="Arial"/>
          <w:noProof w:val="0"/>
          <w:rtl/>
        </w:rPr>
      </w:pPr>
      <w:r>
        <w:rPr>
          <w:rFonts w:ascii="Arial" w:hAnsi="Arial"/>
          <w:noProof w:val="0"/>
          <w:rtl/>
        </w:rPr>
        <w:t>המסקנה השנייה הינה לגבי היקף התערבות בית המשפט לעניינים מנהליים בהחלטות ועדת הערר במסגרת ערעור מנהלי, כאשר גם כאן נשמר העיקרון של התערבות זהירה ונדירה בנושאים מקצועיים ושמאיים, והתערבות רחבה יותר כאשר מדובר במחלוקת בדבר פרשנות התכנון או הדין.</w:t>
      </w:r>
    </w:p>
    <w:p w:rsidR="00640EFA" w:rsidRDefault="00640EFA" w:rsidP="000B7B11">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לטעמי, </w:t>
      </w:r>
      <w:r w:rsidR="003D7ADA">
        <w:rPr>
          <w:rFonts w:ascii="Arial" w:hAnsi="Arial" w:hint="cs"/>
          <w:noProof w:val="0"/>
          <w:rtl/>
        </w:rPr>
        <w:t xml:space="preserve">וכפי שאפרט להלן, </w:t>
      </w:r>
      <w:r>
        <w:rPr>
          <w:rFonts w:ascii="Arial" w:hAnsi="Arial" w:hint="cs"/>
          <w:noProof w:val="0"/>
          <w:rtl/>
        </w:rPr>
        <w:t>בהחלטת ועדת הערר נפלה טעות מהותית בפרשנות דיני היטל ההשבחה,</w:t>
      </w:r>
      <w:r w:rsidR="000B7B11">
        <w:rPr>
          <w:rFonts w:ascii="Arial" w:hAnsi="Arial" w:hint="cs"/>
          <w:noProof w:val="0"/>
          <w:rtl/>
        </w:rPr>
        <w:t xml:space="preserve"> </w:t>
      </w:r>
      <w:r>
        <w:rPr>
          <w:rFonts w:ascii="Arial" w:hAnsi="Arial" w:hint="cs"/>
          <w:noProof w:val="0"/>
          <w:rtl/>
        </w:rPr>
        <w:t>ו</w:t>
      </w:r>
      <w:r>
        <w:rPr>
          <w:rFonts w:ascii="Arial" w:hAnsi="Arial"/>
          <w:noProof w:val="0"/>
          <w:rtl/>
        </w:rPr>
        <w:t>מכאן,</w:t>
      </w:r>
      <w:r w:rsidR="000B7B11">
        <w:rPr>
          <w:rFonts w:ascii="Arial" w:hAnsi="Arial" w:hint="cs"/>
          <w:noProof w:val="0"/>
          <w:rtl/>
        </w:rPr>
        <w:t xml:space="preserve"> </w:t>
      </w:r>
      <w:r>
        <w:rPr>
          <w:rFonts w:ascii="Arial" w:hAnsi="Arial" w:hint="cs"/>
          <w:noProof w:val="0"/>
          <w:rtl/>
        </w:rPr>
        <w:t xml:space="preserve">גם </w:t>
      </w:r>
      <w:r>
        <w:rPr>
          <w:rFonts w:ascii="Arial" w:hAnsi="Arial"/>
          <w:noProof w:val="0"/>
          <w:rtl/>
        </w:rPr>
        <w:t>על רקע כללי ההתערבות המפורטים לעיל</w:t>
      </w:r>
      <w:r>
        <w:rPr>
          <w:rFonts w:ascii="Arial" w:hAnsi="Arial" w:hint="cs"/>
          <w:noProof w:val="0"/>
          <w:rtl/>
        </w:rPr>
        <w:t>, ראוי ונכון להתערב בהחלטתה ולקבוע, כי לא ניתן לחייב בהיטל השבחה רטרואקטיבי לגבי שימוש חורג</w:t>
      </w:r>
      <w:r w:rsidR="000B7B11">
        <w:rPr>
          <w:rFonts w:ascii="Arial" w:hAnsi="Arial" w:hint="cs"/>
          <w:noProof w:val="0"/>
          <w:rtl/>
        </w:rPr>
        <w:t xml:space="preserve"> שנעשה טרם האקט התכנוני המשביח.</w:t>
      </w:r>
    </w:p>
    <w:p w:rsidR="002B24C4" w:rsidRPr="002B24C4" w:rsidRDefault="002B24C4" w:rsidP="001A570D">
      <w:pPr>
        <w:spacing w:after="120" w:line="360" w:lineRule="auto"/>
        <w:ind w:left="-57"/>
        <w:jc w:val="both"/>
        <w:rPr>
          <w:rFonts w:ascii="Arial" w:hAnsi="Arial"/>
          <w:b/>
          <w:bCs/>
          <w:noProof w:val="0"/>
          <w:u w:val="single"/>
        </w:rPr>
      </w:pPr>
      <w:r w:rsidRPr="002B24C4">
        <w:rPr>
          <w:rFonts w:ascii="Arial" w:hAnsi="Arial" w:hint="cs"/>
          <w:b/>
          <w:bCs/>
          <w:noProof w:val="0"/>
          <w:u w:val="single"/>
          <w:rtl/>
        </w:rPr>
        <w:t>עקרו</w:t>
      </w:r>
      <w:r w:rsidR="00160A92">
        <w:rPr>
          <w:rFonts w:ascii="Arial" w:hAnsi="Arial" w:hint="cs"/>
          <w:b/>
          <w:bCs/>
          <w:noProof w:val="0"/>
          <w:u w:val="single"/>
          <w:rtl/>
        </w:rPr>
        <w:t>נות</w:t>
      </w:r>
      <w:r w:rsidRPr="002B24C4">
        <w:rPr>
          <w:rFonts w:ascii="Arial" w:hAnsi="Arial" w:hint="cs"/>
          <w:b/>
          <w:bCs/>
          <w:noProof w:val="0"/>
          <w:u w:val="single"/>
          <w:rtl/>
        </w:rPr>
        <w:t xml:space="preserve"> היסוד של היטל ההשבחה</w:t>
      </w:r>
    </w:p>
    <w:p w:rsidR="00D40764" w:rsidRDefault="00160A92" w:rsidP="000B7B11">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 xml:space="preserve">שני עקרונות יסוד עומדים בבסיס הדינים </w:t>
      </w:r>
      <w:r w:rsidR="003D7ADA">
        <w:rPr>
          <w:rFonts w:ascii="Arial" w:hAnsi="Arial" w:hint="cs"/>
          <w:noProof w:val="0"/>
          <w:rtl/>
        </w:rPr>
        <w:t>המ</w:t>
      </w:r>
      <w:r w:rsidR="000B7B11">
        <w:rPr>
          <w:rFonts w:ascii="Arial" w:hAnsi="Arial" w:hint="cs"/>
          <w:noProof w:val="0"/>
          <w:rtl/>
        </w:rPr>
        <w:t>גדירים</w:t>
      </w:r>
      <w:r w:rsidR="003D7ADA">
        <w:rPr>
          <w:rFonts w:ascii="Arial" w:hAnsi="Arial" w:hint="cs"/>
          <w:noProof w:val="0"/>
          <w:rtl/>
        </w:rPr>
        <w:t xml:space="preserve"> את </w:t>
      </w:r>
      <w:r w:rsidR="000B7B11">
        <w:rPr>
          <w:rFonts w:ascii="Arial" w:hAnsi="Arial" w:hint="cs"/>
          <w:noProof w:val="0"/>
          <w:rtl/>
        </w:rPr>
        <w:t xml:space="preserve">עצם </w:t>
      </w:r>
      <w:r>
        <w:rPr>
          <w:rFonts w:ascii="Arial" w:hAnsi="Arial" w:hint="cs"/>
          <w:noProof w:val="0"/>
          <w:rtl/>
        </w:rPr>
        <w:t>חיוב הנישום בהיטל השבחה ו</w:t>
      </w:r>
      <w:r w:rsidR="003D7ADA">
        <w:rPr>
          <w:rFonts w:ascii="Arial" w:hAnsi="Arial" w:hint="cs"/>
          <w:noProof w:val="0"/>
          <w:rtl/>
        </w:rPr>
        <w:t>את היקף</w:t>
      </w:r>
      <w:r>
        <w:rPr>
          <w:rFonts w:ascii="Arial" w:hAnsi="Arial" w:hint="cs"/>
          <w:noProof w:val="0"/>
          <w:rtl/>
        </w:rPr>
        <w:t xml:space="preserve"> היטל</w:t>
      </w:r>
      <w:r w:rsidR="003D7ADA">
        <w:rPr>
          <w:rFonts w:ascii="Arial" w:hAnsi="Arial" w:hint="cs"/>
          <w:noProof w:val="0"/>
          <w:rtl/>
        </w:rPr>
        <w:t xml:space="preserve"> ההשבחה שיגבה</w:t>
      </w:r>
      <w:r w:rsidR="000B7B11">
        <w:rPr>
          <w:rFonts w:ascii="Arial" w:hAnsi="Arial" w:hint="cs"/>
          <w:noProof w:val="0"/>
          <w:rtl/>
        </w:rPr>
        <w:t xml:space="preserve"> מהנישום</w:t>
      </w:r>
      <w:r w:rsidR="003D7ADA">
        <w:rPr>
          <w:rFonts w:ascii="Arial" w:hAnsi="Arial" w:hint="cs"/>
          <w:noProof w:val="0"/>
          <w:rtl/>
        </w:rPr>
        <w:t>.</w:t>
      </w:r>
    </w:p>
    <w:p w:rsidR="00160A92" w:rsidRDefault="00160A92" w:rsidP="000B7B11">
      <w:pPr>
        <w:pStyle w:val="ad"/>
        <w:numPr>
          <w:ilvl w:val="0"/>
          <w:numId w:val="1"/>
        </w:numPr>
        <w:spacing w:after="120" w:line="360" w:lineRule="auto"/>
        <w:ind w:left="510" w:hanging="567"/>
        <w:contextualSpacing w:val="0"/>
        <w:jc w:val="both"/>
        <w:rPr>
          <w:rFonts w:ascii="Arial" w:hAnsi="Arial"/>
          <w:noProof w:val="0"/>
        </w:rPr>
      </w:pPr>
      <w:r>
        <w:rPr>
          <w:rFonts w:ascii="Arial" w:hAnsi="Arial" w:hint="cs"/>
          <w:noProof w:val="0"/>
          <w:rtl/>
        </w:rPr>
        <w:t>עיקרון היסוד הראשון</w:t>
      </w:r>
      <w:r w:rsidR="003D7ADA">
        <w:rPr>
          <w:rFonts w:ascii="Arial" w:hAnsi="Arial" w:hint="cs"/>
          <w:noProof w:val="0"/>
          <w:rtl/>
        </w:rPr>
        <w:t>,</w:t>
      </w:r>
      <w:r>
        <w:rPr>
          <w:rFonts w:ascii="Arial" w:hAnsi="Arial" w:hint="cs"/>
          <w:noProof w:val="0"/>
          <w:rtl/>
        </w:rPr>
        <w:t xml:space="preserve"> הינו כי היטל ההשבחה מוטל כאשר קיימת התעשרות של הנישום כתוצאה מאקט תכנוני. כלומר, עקרון זה מורכב משני חלקים, החלק הראשון הינ</w:t>
      </w:r>
      <w:r w:rsidR="003D7ADA">
        <w:rPr>
          <w:rFonts w:ascii="Arial" w:hAnsi="Arial" w:hint="cs"/>
          <w:noProof w:val="0"/>
          <w:rtl/>
        </w:rPr>
        <w:t>ה</w:t>
      </w:r>
      <w:r>
        <w:rPr>
          <w:rFonts w:ascii="Arial" w:hAnsi="Arial" w:hint="cs"/>
          <w:noProof w:val="0"/>
          <w:rtl/>
        </w:rPr>
        <w:t xml:space="preserve"> קיומה של התעשרות</w:t>
      </w:r>
      <w:r w:rsidR="000B7B11">
        <w:rPr>
          <w:rFonts w:ascii="Arial" w:hAnsi="Arial" w:hint="cs"/>
          <w:noProof w:val="0"/>
          <w:rtl/>
        </w:rPr>
        <w:t xml:space="preserve"> </w:t>
      </w:r>
      <w:r>
        <w:rPr>
          <w:rFonts w:ascii="Arial" w:hAnsi="Arial" w:hint="cs"/>
          <w:noProof w:val="0"/>
          <w:rtl/>
        </w:rPr>
        <w:t xml:space="preserve">של הנישום, והחלק השני הינו, כי התעשרות זו </w:t>
      </w:r>
      <w:r w:rsidRPr="003D7ADA">
        <w:rPr>
          <w:rFonts w:ascii="Arial" w:hAnsi="Arial" w:hint="cs"/>
          <w:b/>
          <w:bCs/>
          <w:noProof w:val="0"/>
          <w:rtl/>
        </w:rPr>
        <w:t xml:space="preserve">נובעת </w:t>
      </w:r>
      <w:r>
        <w:rPr>
          <w:rFonts w:ascii="Arial" w:hAnsi="Arial" w:hint="cs"/>
          <w:noProof w:val="0"/>
          <w:rtl/>
        </w:rPr>
        <w:t>מאקט תכנוני. במילים אחרות</w:t>
      </w:r>
      <w:r w:rsidR="003D7ADA">
        <w:rPr>
          <w:rFonts w:ascii="Arial" w:hAnsi="Arial" w:hint="cs"/>
          <w:noProof w:val="0"/>
          <w:rtl/>
        </w:rPr>
        <w:t xml:space="preserve"> עקרון ז</w:t>
      </w:r>
      <w:r w:rsidR="000B7B11">
        <w:rPr>
          <w:rFonts w:ascii="Arial" w:hAnsi="Arial" w:hint="cs"/>
          <w:noProof w:val="0"/>
          <w:rtl/>
        </w:rPr>
        <w:t>ה</w:t>
      </w:r>
      <w:r w:rsidR="003D7ADA">
        <w:rPr>
          <w:rFonts w:ascii="Arial" w:hAnsi="Arial" w:hint="cs"/>
          <w:noProof w:val="0"/>
          <w:rtl/>
        </w:rPr>
        <w:t xml:space="preserve"> דורש </w:t>
      </w:r>
      <w:r w:rsidRPr="003D7ADA">
        <w:rPr>
          <w:rFonts w:ascii="Arial" w:hAnsi="Arial" w:hint="cs"/>
          <w:b/>
          <w:bCs/>
          <w:noProof w:val="0"/>
          <w:rtl/>
        </w:rPr>
        <w:t>קשר סיבתי</w:t>
      </w:r>
      <w:r>
        <w:rPr>
          <w:rFonts w:ascii="Arial" w:hAnsi="Arial" w:hint="cs"/>
          <w:noProof w:val="0"/>
          <w:rtl/>
        </w:rPr>
        <w:t xml:space="preserve"> בין ההתעשרות של הנישום לאקט התכנוני.</w:t>
      </w:r>
    </w:p>
    <w:p w:rsidR="00802271" w:rsidRDefault="00160A92" w:rsidP="002F226B">
      <w:pPr>
        <w:pStyle w:val="ad"/>
        <w:numPr>
          <w:ilvl w:val="0"/>
          <w:numId w:val="1"/>
        </w:numPr>
        <w:spacing w:after="120" w:line="360" w:lineRule="auto"/>
        <w:ind w:left="510" w:hanging="567"/>
        <w:contextualSpacing w:val="0"/>
        <w:jc w:val="both"/>
        <w:rPr>
          <w:rFonts w:ascii="Arial" w:hAnsi="Arial"/>
          <w:b/>
          <w:bCs/>
          <w:noProof w:val="0"/>
          <w:rtl/>
        </w:rPr>
      </w:pPr>
      <w:r>
        <w:rPr>
          <w:rFonts w:ascii="Arial" w:hAnsi="Arial"/>
          <w:noProof w:val="0"/>
          <w:rtl/>
        </w:rPr>
        <w:lastRenderedPageBreak/>
        <w:t>לעניין זה ר' דברי המבוא להצעת החוק (הצעת חוק 1491) במסגרתה</w:t>
      </w:r>
      <w:r w:rsidR="000B7B11">
        <w:rPr>
          <w:rFonts w:ascii="Arial" w:hAnsi="Arial" w:hint="cs"/>
          <w:noProof w:val="0"/>
          <w:rtl/>
        </w:rPr>
        <w:t xml:space="preserve"> </w:t>
      </w:r>
      <w:r>
        <w:rPr>
          <w:rFonts w:ascii="Arial" w:hAnsi="Arial"/>
          <w:noProof w:val="0"/>
          <w:rtl/>
        </w:rPr>
        <w:t>הוספו לספר החוקים סעיף 196א לחוק התכנון והבניה והתוספת השלישית לחוק (תיקון מס' 18 לחוק):</w:t>
      </w:r>
    </w:p>
    <w:p w:rsidR="00160A92" w:rsidRDefault="00160A92" w:rsidP="00B45594">
      <w:pPr>
        <w:pStyle w:val="ad"/>
        <w:spacing w:after="120" w:line="360" w:lineRule="auto"/>
        <w:ind w:left="1077" w:right="284"/>
        <w:contextualSpacing w:val="0"/>
        <w:jc w:val="both"/>
        <w:rPr>
          <w:rFonts w:ascii="Arial" w:hAnsi="Arial"/>
          <w:b/>
          <w:bCs/>
          <w:noProof w:val="0"/>
          <w:rtl/>
        </w:rPr>
      </w:pPr>
      <w:r>
        <w:rPr>
          <w:rFonts w:ascii="Arial" w:hAnsi="Arial"/>
          <w:b/>
          <w:bCs/>
          <w:noProof w:val="0"/>
          <w:rtl/>
        </w:rPr>
        <w:t xml:space="preserve">"היסוד הרעיוני להטלת המס נעוץ בדיני "עשיית עושר ולא במשפט", לאמור: אם הרשות הציבורית משקיעה בתכנון ובפיתוח, </w:t>
      </w:r>
      <w:r w:rsidRPr="00160A92">
        <w:rPr>
          <w:rFonts w:ascii="Arial" w:hAnsi="Arial"/>
          <w:b/>
          <w:bCs/>
          <w:noProof w:val="0"/>
          <w:u w:val="single"/>
          <w:rtl/>
        </w:rPr>
        <w:t>וכתוצאה</w:t>
      </w:r>
      <w:r>
        <w:rPr>
          <w:rFonts w:ascii="Arial" w:hAnsi="Arial"/>
          <w:b/>
          <w:bCs/>
          <w:noProof w:val="0"/>
          <w:rtl/>
        </w:rPr>
        <w:t xml:space="preserve"> מכך עולים נכסים בערכם, מן הראוי שבעלי הנכסים ישאו בחלק מהוצאות התכנון והפיתוח."</w:t>
      </w:r>
      <w:r w:rsidRPr="00160A92">
        <w:rPr>
          <w:rFonts w:ascii="Arial" w:hAnsi="Arial" w:hint="cs"/>
          <w:noProof w:val="0"/>
          <w:rtl/>
        </w:rPr>
        <w:t xml:space="preserve"> (הדגשה אינה במקור – ג.ה).</w:t>
      </w:r>
      <w:r>
        <w:rPr>
          <w:rFonts w:ascii="Arial" w:hAnsi="Arial" w:hint="cs"/>
          <w:b/>
          <w:bCs/>
          <w:noProof w:val="0"/>
          <w:rtl/>
        </w:rPr>
        <w:t xml:space="preserve"> </w:t>
      </w:r>
    </w:p>
    <w:p w:rsidR="00160A92" w:rsidRDefault="00D17442" w:rsidP="001A570D">
      <w:pPr>
        <w:pStyle w:val="ad"/>
        <w:numPr>
          <w:ilvl w:val="0"/>
          <w:numId w:val="1"/>
        </w:numPr>
        <w:spacing w:after="120" w:line="360" w:lineRule="auto"/>
        <w:ind w:left="510" w:hanging="567"/>
        <w:contextualSpacing w:val="0"/>
        <w:jc w:val="both"/>
        <w:rPr>
          <w:rFonts w:ascii="Arial" w:hAnsi="Arial"/>
          <w:noProof w:val="0"/>
          <w:rtl/>
        </w:rPr>
      </w:pPr>
      <w:r>
        <w:rPr>
          <w:rFonts w:ascii="Arial" w:hAnsi="Arial" w:hint="cs"/>
          <w:noProof w:val="0"/>
          <w:rtl/>
        </w:rPr>
        <w:t xml:space="preserve">עקרון זה, על שני חלקיו, מצא </w:t>
      </w:r>
      <w:r w:rsidR="00160A92">
        <w:rPr>
          <w:rFonts w:ascii="Arial" w:hAnsi="Arial"/>
          <w:noProof w:val="0"/>
          <w:rtl/>
        </w:rPr>
        <w:t xml:space="preserve">ביטויו בפסיקה, </w:t>
      </w:r>
      <w:r>
        <w:rPr>
          <w:rFonts w:ascii="Arial" w:hAnsi="Arial" w:hint="cs"/>
          <w:noProof w:val="0"/>
          <w:rtl/>
        </w:rPr>
        <w:t xml:space="preserve">ר', </w:t>
      </w:r>
      <w:r w:rsidR="00160A92">
        <w:rPr>
          <w:rFonts w:ascii="Arial" w:hAnsi="Arial"/>
          <w:noProof w:val="0"/>
          <w:rtl/>
        </w:rPr>
        <w:t xml:space="preserve">למשל, דנ"א 376/98 </w:t>
      </w:r>
      <w:r w:rsidR="00160A92">
        <w:rPr>
          <w:rFonts w:ascii="Arial" w:hAnsi="Arial"/>
          <w:b/>
          <w:bCs/>
          <w:noProof w:val="0"/>
          <w:rtl/>
        </w:rPr>
        <w:t xml:space="preserve">קריית בית הכרם בע"מ נ. הוועדה המקומית ירושלים ואח' </w:t>
      </w:r>
      <w:r w:rsidR="00160A92">
        <w:rPr>
          <w:rFonts w:ascii="Arial" w:hAnsi="Arial"/>
          <w:noProof w:val="0"/>
          <w:rtl/>
        </w:rPr>
        <w:t>[פורסם במאגר נבו] (27.06.2022)</w:t>
      </w:r>
      <w:r>
        <w:rPr>
          <w:rFonts w:ascii="Arial" w:hAnsi="Arial" w:hint="cs"/>
          <w:noProof w:val="0"/>
          <w:rtl/>
        </w:rPr>
        <w:t>:</w:t>
      </w:r>
    </w:p>
    <w:p w:rsidR="00160A92" w:rsidRDefault="00160A92" w:rsidP="00B45594">
      <w:pPr>
        <w:pStyle w:val="ad"/>
        <w:spacing w:after="120" w:line="360" w:lineRule="auto"/>
        <w:ind w:left="1077" w:right="284"/>
        <w:contextualSpacing w:val="0"/>
        <w:jc w:val="both"/>
        <w:rPr>
          <w:rFonts w:ascii="Arial" w:hAnsi="Arial"/>
          <w:b/>
          <w:bCs/>
          <w:noProof w:val="0"/>
          <w:rtl/>
        </w:rPr>
      </w:pPr>
      <w:r>
        <w:rPr>
          <w:rFonts w:ascii="Arial" w:hAnsi="Arial"/>
          <w:b/>
          <w:bCs/>
          <w:noProof w:val="0"/>
          <w:rtl/>
        </w:rPr>
        <w:t xml:space="preserve">"פלוני </w:t>
      </w:r>
      <w:r w:rsidRPr="00B45594">
        <w:rPr>
          <w:rFonts w:ascii="Arial" w:hAnsi="Arial"/>
          <w:b/>
          <w:bCs/>
          <w:noProof w:val="0"/>
          <w:rtl/>
        </w:rPr>
        <w:t>שנתעשר</w:t>
      </w:r>
      <w:r w:rsidRPr="00A744B3">
        <w:rPr>
          <w:rFonts w:ascii="Arial" w:hAnsi="Arial"/>
          <w:b/>
          <w:bCs/>
          <w:noProof w:val="0"/>
          <w:rtl/>
        </w:rPr>
        <w:t xml:space="preserve"> </w:t>
      </w:r>
      <w:r>
        <w:rPr>
          <w:rFonts w:ascii="Arial" w:hAnsi="Arial"/>
          <w:b/>
          <w:bCs/>
          <w:noProof w:val="0"/>
          <w:rtl/>
        </w:rPr>
        <w:t xml:space="preserve">אך </w:t>
      </w:r>
      <w:r w:rsidRPr="00D17442">
        <w:rPr>
          <w:rFonts w:ascii="Arial" w:hAnsi="Arial"/>
          <w:b/>
          <w:bCs/>
          <w:noProof w:val="0"/>
          <w:u w:val="single"/>
          <w:rtl/>
        </w:rPr>
        <w:t>בשל</w:t>
      </w:r>
      <w:r>
        <w:rPr>
          <w:rFonts w:ascii="Arial" w:hAnsi="Arial"/>
          <w:b/>
          <w:bCs/>
          <w:noProof w:val="0"/>
          <w:rtl/>
        </w:rPr>
        <w:t xml:space="preserve"> שינויי תכנון שנערכו לפי חוקי חוק התכנון והבניה – לאמור, </w:t>
      </w:r>
      <w:r w:rsidRPr="00A744B3">
        <w:rPr>
          <w:rFonts w:ascii="Arial" w:hAnsi="Arial"/>
          <w:b/>
          <w:bCs/>
          <w:noProof w:val="0"/>
          <w:u w:val="single"/>
          <w:rtl/>
        </w:rPr>
        <w:t>נתעשר</w:t>
      </w:r>
      <w:r>
        <w:rPr>
          <w:rFonts w:ascii="Arial" w:hAnsi="Arial"/>
          <w:b/>
          <w:bCs/>
          <w:noProof w:val="0"/>
          <w:rtl/>
        </w:rPr>
        <w:t xml:space="preserve"> אך </w:t>
      </w:r>
      <w:r w:rsidRPr="00D17442">
        <w:rPr>
          <w:rFonts w:ascii="Arial" w:hAnsi="Arial"/>
          <w:b/>
          <w:bCs/>
          <w:noProof w:val="0"/>
          <w:u w:val="single"/>
          <w:rtl/>
        </w:rPr>
        <w:t>בשל</w:t>
      </w:r>
      <w:r>
        <w:rPr>
          <w:rFonts w:ascii="Arial" w:hAnsi="Arial"/>
          <w:b/>
          <w:bCs/>
          <w:noProof w:val="0"/>
          <w:rtl/>
        </w:rPr>
        <w:t xml:space="preserve"> פעילות נורמטיבית של רשויות הציבור – ראוי לו שישתף את הקהילה באותה התעשרות שנתעשר"</w:t>
      </w:r>
      <w:r w:rsidR="00D17442">
        <w:rPr>
          <w:rFonts w:ascii="Arial" w:hAnsi="Arial" w:hint="cs"/>
          <w:b/>
          <w:bCs/>
          <w:noProof w:val="0"/>
          <w:rtl/>
        </w:rPr>
        <w:t xml:space="preserve"> </w:t>
      </w:r>
      <w:r w:rsidR="00D17442" w:rsidRPr="00D17442">
        <w:rPr>
          <w:rFonts w:ascii="Arial" w:hAnsi="Arial" w:hint="cs"/>
          <w:noProof w:val="0"/>
          <w:rtl/>
        </w:rPr>
        <w:t>(הדגשה אינה במקור – ג.ה).</w:t>
      </w:r>
      <w:r w:rsidR="00D17442">
        <w:rPr>
          <w:rFonts w:ascii="Arial" w:hAnsi="Arial" w:hint="cs"/>
          <w:b/>
          <w:bCs/>
          <w:noProof w:val="0"/>
          <w:rtl/>
        </w:rPr>
        <w:t xml:space="preserve"> </w:t>
      </w:r>
    </w:p>
    <w:p w:rsidR="00D17442" w:rsidRDefault="00D17442" w:rsidP="00B45594">
      <w:pPr>
        <w:pStyle w:val="ad"/>
        <w:spacing w:after="120" w:line="360" w:lineRule="auto"/>
        <w:ind w:left="510"/>
        <w:contextualSpacing w:val="0"/>
        <w:jc w:val="both"/>
        <w:rPr>
          <w:rFonts w:ascii="Arial" w:hAnsi="Arial"/>
          <w:noProof w:val="0"/>
        </w:rPr>
      </w:pPr>
      <w:r>
        <w:rPr>
          <w:rFonts w:ascii="Arial" w:hAnsi="Arial" w:hint="cs"/>
          <w:noProof w:val="0"/>
          <w:rtl/>
        </w:rPr>
        <w:t>כלומר, הבסיס הרעיוני של היטל ההשבחה הינו קיומו של אקט תכנוני הגורם להתעשרות של הנישום, ובכך מצדיק את גביית ההיטל מהנישום שהתעשר.</w:t>
      </w:r>
    </w:p>
    <w:p w:rsidR="00D40764" w:rsidRPr="001A570D" w:rsidRDefault="00D17442" w:rsidP="00A744B3">
      <w:pPr>
        <w:pStyle w:val="ad"/>
        <w:numPr>
          <w:ilvl w:val="0"/>
          <w:numId w:val="1"/>
        </w:numPr>
        <w:spacing w:after="120" w:line="360" w:lineRule="auto"/>
        <w:ind w:left="510" w:hanging="567"/>
        <w:contextualSpacing w:val="0"/>
        <w:jc w:val="both"/>
        <w:rPr>
          <w:rFonts w:ascii="Arial" w:hAnsi="Arial"/>
          <w:noProof w:val="0"/>
        </w:rPr>
      </w:pPr>
      <w:r w:rsidRPr="001A570D">
        <w:rPr>
          <w:rFonts w:ascii="Arial" w:hAnsi="Arial" w:hint="cs"/>
          <w:noProof w:val="0"/>
          <w:rtl/>
        </w:rPr>
        <w:t>העיקרון השני</w:t>
      </w:r>
      <w:r w:rsidR="001A570D" w:rsidRPr="001A570D">
        <w:rPr>
          <w:rFonts w:ascii="Arial" w:hAnsi="Arial" w:hint="cs"/>
          <w:noProof w:val="0"/>
          <w:rtl/>
        </w:rPr>
        <w:t>, אשר למעשה הינו יישום דיוני של העיקרון הראשון, נוגע לאופן חישוב היטל ההשבחה, כ</w:t>
      </w:r>
      <w:r w:rsidR="00A744B3">
        <w:rPr>
          <w:rFonts w:ascii="Arial" w:hAnsi="Arial" w:hint="cs"/>
          <w:noProof w:val="0"/>
          <w:rtl/>
        </w:rPr>
        <w:t>ך</w:t>
      </w:r>
      <w:r w:rsidR="001A570D" w:rsidRPr="001A570D">
        <w:rPr>
          <w:rFonts w:ascii="Arial" w:hAnsi="Arial" w:hint="cs"/>
          <w:noProof w:val="0"/>
          <w:rtl/>
        </w:rPr>
        <w:t xml:space="preserve"> </w:t>
      </w:r>
      <w:r w:rsidR="001A570D">
        <w:rPr>
          <w:rFonts w:ascii="Arial" w:hAnsi="Arial" w:hint="cs"/>
          <w:noProof w:val="0"/>
          <w:rtl/>
        </w:rPr>
        <w:t>ש</w:t>
      </w:r>
      <w:r w:rsidR="00D40764" w:rsidRPr="001A570D">
        <w:rPr>
          <w:rFonts w:ascii="Arial" w:hAnsi="Arial"/>
          <w:noProof w:val="0"/>
          <w:rtl/>
        </w:rPr>
        <w:t>חישוב היטל ההשבחה מבוסס על הערכת שווי המקרקעין לפני ואחרי האקט התכנוני, ר', למשל, בעניין</w:t>
      </w:r>
      <w:r w:rsidR="00D40764" w:rsidRPr="001A570D">
        <w:rPr>
          <w:rFonts w:ascii="Arial" w:hAnsi="Arial"/>
          <w:b/>
          <w:bCs/>
          <w:noProof w:val="0"/>
          <w:rtl/>
        </w:rPr>
        <w:t xml:space="preserve"> קריית בית הכרם בע"מ </w:t>
      </w:r>
      <w:r w:rsidR="00D40764" w:rsidRPr="001A570D">
        <w:rPr>
          <w:rFonts w:ascii="Arial" w:hAnsi="Arial"/>
          <w:noProof w:val="0"/>
          <w:rtl/>
        </w:rPr>
        <w:t xml:space="preserve">לעיל: </w:t>
      </w:r>
    </w:p>
    <w:p w:rsidR="00D40764" w:rsidRPr="00D40764" w:rsidRDefault="00D40764" w:rsidP="001A570D">
      <w:pPr>
        <w:pStyle w:val="ad"/>
        <w:spacing w:after="120" w:line="360" w:lineRule="auto"/>
        <w:ind w:left="1077" w:right="284"/>
        <w:contextualSpacing w:val="0"/>
        <w:jc w:val="both"/>
        <w:rPr>
          <w:rFonts w:ascii="Arial" w:hAnsi="Arial"/>
          <w:b/>
          <w:bCs/>
          <w:noProof w:val="0"/>
        </w:rPr>
      </w:pPr>
      <w:r w:rsidRPr="00D40764">
        <w:rPr>
          <w:rFonts w:ascii="Arial" w:hAnsi="Arial"/>
          <w:b/>
          <w:bCs/>
          <w:noProof w:val="0"/>
          <w:rtl/>
        </w:rPr>
        <w:t>"ההשבחה שבגינה מוטל היטל השבחה נקבעת בהתאם להפרש בין השווי של זכות הבעלות (כולל חכירה לדורות) במקרקעין כפי שהיה לפני התכנית לבין השווי שאחריה".</w:t>
      </w:r>
    </w:p>
    <w:p w:rsidR="002B24C4" w:rsidRDefault="001A570D" w:rsidP="001A570D">
      <w:pPr>
        <w:pStyle w:val="ad"/>
        <w:spacing w:after="120" w:line="360" w:lineRule="auto"/>
        <w:ind w:left="510"/>
        <w:contextualSpacing w:val="0"/>
        <w:jc w:val="both"/>
        <w:rPr>
          <w:rFonts w:ascii="Arial" w:hAnsi="Arial"/>
          <w:noProof w:val="0"/>
        </w:rPr>
      </w:pPr>
      <w:r>
        <w:rPr>
          <w:rFonts w:ascii="Arial" w:hAnsi="Arial" w:hint="cs"/>
          <w:noProof w:val="0"/>
          <w:rtl/>
        </w:rPr>
        <w:t xml:space="preserve">וכן ר' </w:t>
      </w:r>
      <w:r>
        <w:rPr>
          <w:rFonts w:ascii="Arial" w:hAnsi="Arial"/>
          <w:noProof w:val="0"/>
          <w:rtl/>
        </w:rPr>
        <w:t xml:space="preserve">רע"א 147/14 </w:t>
      </w:r>
      <w:r>
        <w:rPr>
          <w:rFonts w:ascii="Arial" w:hAnsi="Arial"/>
          <w:b/>
          <w:bCs/>
          <w:noProof w:val="0"/>
          <w:rtl/>
        </w:rPr>
        <w:t xml:space="preserve">הועדה המקומית לתכנון ובניה תל אביב-יפו נ' סוניה אברמוביץ </w:t>
      </w:r>
      <w:r>
        <w:rPr>
          <w:rFonts w:ascii="Arial" w:hAnsi="Arial"/>
          <w:noProof w:val="0"/>
          <w:rtl/>
        </w:rPr>
        <w:t>[פורסם במאגר נבו] (31.12.2014)</w:t>
      </w:r>
      <w:r>
        <w:rPr>
          <w:rFonts w:ascii="Arial" w:hAnsi="Arial" w:hint="cs"/>
          <w:noProof w:val="0"/>
          <w:rtl/>
        </w:rPr>
        <w:t>:</w:t>
      </w:r>
    </w:p>
    <w:p w:rsidR="001A570D" w:rsidRDefault="001A570D" w:rsidP="00B45594">
      <w:pPr>
        <w:pStyle w:val="ad"/>
        <w:spacing w:after="120" w:line="360" w:lineRule="auto"/>
        <w:ind w:left="1077" w:right="284"/>
        <w:contextualSpacing w:val="0"/>
        <w:jc w:val="both"/>
        <w:rPr>
          <w:rFonts w:ascii="Arial" w:hAnsi="Arial"/>
          <w:b/>
          <w:bCs/>
          <w:noProof w:val="0"/>
          <w:rtl/>
        </w:rPr>
      </w:pPr>
      <w:r w:rsidRPr="001A570D">
        <w:rPr>
          <w:rFonts w:ascii="Arial" w:hAnsi="Arial" w:hint="cs"/>
          <w:b/>
          <w:bCs/>
          <w:noProof w:val="0"/>
          <w:rtl/>
        </w:rPr>
        <w:t>"</w:t>
      </w:r>
      <w:r w:rsidRPr="001A570D">
        <w:rPr>
          <w:rFonts w:ascii="Arial" w:hAnsi="Arial"/>
          <w:b/>
          <w:bCs/>
          <w:noProof w:val="0"/>
          <w:rtl/>
        </w:rPr>
        <w:t>שומת ההשבחה דורשת אם כן לשום את המקרקעין פעמיים: פעם אחת, לפי "המצב החדש", דהיינו לפי מצב הזכויות בהם לאחר הפעולה התכנונית המשביחה; ופעם שנייה, לפי "המצב הקודם", דהיינו לפי מצב הזכויות במקרקעין עובר לפעולה התכנונית האמורה. ההפרש בין שני ערכים אלה מהווה את ההשבחה שחלה בעקבות הפעולה התכנונית; וסכום היטל ההשבחה יועמד כאמור על מחצית ממנו</w:t>
      </w:r>
      <w:r w:rsidRPr="001A570D">
        <w:rPr>
          <w:rFonts w:ascii="Arial" w:hAnsi="Arial" w:hint="cs"/>
          <w:b/>
          <w:bCs/>
          <w:noProof w:val="0"/>
          <w:rtl/>
        </w:rPr>
        <w:t>"</w:t>
      </w:r>
    </w:p>
    <w:p w:rsidR="006C131C" w:rsidRDefault="00A744B3" w:rsidP="006C131C">
      <w:pPr>
        <w:pStyle w:val="ad"/>
        <w:numPr>
          <w:ilvl w:val="0"/>
          <w:numId w:val="1"/>
        </w:numPr>
        <w:spacing w:after="120" w:line="360" w:lineRule="auto"/>
        <w:ind w:left="510" w:hanging="567"/>
        <w:contextualSpacing w:val="0"/>
        <w:jc w:val="both"/>
        <w:rPr>
          <w:rFonts w:ascii="Arial" w:hAnsi="Arial"/>
          <w:b/>
          <w:bCs/>
          <w:noProof w:val="0"/>
          <w:u w:val="single"/>
        </w:rPr>
      </w:pPr>
      <w:r>
        <w:rPr>
          <w:rFonts w:ascii="Arial" w:hAnsi="Arial" w:hint="cs"/>
          <w:noProof w:val="0"/>
          <w:rtl/>
        </w:rPr>
        <w:t>ו</w:t>
      </w:r>
      <w:r w:rsidR="004C17CA">
        <w:rPr>
          <w:rFonts w:ascii="Arial" w:hAnsi="Arial" w:hint="cs"/>
          <w:noProof w:val="0"/>
          <w:rtl/>
        </w:rPr>
        <w:t>הדברים ברורים, היטל השבחה מוטל על התעשרות הנובעת מאקט תכנוני, כאשר התחשיב נעשה לפי שו</w:t>
      </w:r>
      <w:r>
        <w:rPr>
          <w:rFonts w:ascii="Arial" w:hAnsi="Arial" w:hint="cs"/>
          <w:noProof w:val="0"/>
          <w:rtl/>
        </w:rPr>
        <w:t>וי</w:t>
      </w:r>
      <w:r w:rsidR="004C17CA">
        <w:rPr>
          <w:rFonts w:ascii="Arial" w:hAnsi="Arial" w:hint="cs"/>
          <w:noProof w:val="0"/>
          <w:rtl/>
        </w:rPr>
        <w:t xml:space="preserve"> המקרקעין לפני ואחרי האקט התכנוני.</w:t>
      </w:r>
    </w:p>
    <w:p w:rsidR="002B24C4" w:rsidRPr="006C131C" w:rsidRDefault="006C131C" w:rsidP="006C131C">
      <w:pPr>
        <w:spacing w:after="120" w:line="360" w:lineRule="auto"/>
        <w:ind w:left="-57"/>
        <w:jc w:val="both"/>
        <w:rPr>
          <w:rFonts w:ascii="Arial" w:hAnsi="Arial"/>
          <w:b/>
          <w:bCs/>
          <w:noProof w:val="0"/>
          <w:u w:val="single"/>
          <w:rtl/>
        </w:rPr>
      </w:pPr>
      <w:r w:rsidRPr="006C131C">
        <w:rPr>
          <w:rFonts w:ascii="Arial" w:hAnsi="Arial" w:hint="cs"/>
          <w:b/>
          <w:bCs/>
          <w:noProof w:val="0"/>
          <w:u w:val="single"/>
          <w:rtl/>
        </w:rPr>
        <w:lastRenderedPageBreak/>
        <w:t xml:space="preserve"> </w:t>
      </w:r>
      <w:r w:rsidR="004C17CA" w:rsidRPr="006C131C">
        <w:rPr>
          <w:rFonts w:ascii="Arial" w:hAnsi="Arial" w:hint="cs"/>
          <w:b/>
          <w:bCs/>
          <w:noProof w:val="0"/>
          <w:u w:val="single"/>
          <w:rtl/>
        </w:rPr>
        <w:t>יישום ביניים</w:t>
      </w:r>
    </w:p>
    <w:p w:rsidR="002B24C4" w:rsidRDefault="004C17CA" w:rsidP="004E797A">
      <w:pPr>
        <w:pStyle w:val="ad"/>
        <w:numPr>
          <w:ilvl w:val="0"/>
          <w:numId w:val="1"/>
        </w:numPr>
        <w:spacing w:after="120" w:line="360" w:lineRule="auto"/>
        <w:ind w:left="510" w:hanging="567"/>
        <w:contextualSpacing w:val="0"/>
        <w:jc w:val="both"/>
        <w:rPr>
          <w:rFonts w:ascii="Arial" w:hAnsi="Arial"/>
          <w:noProof w:val="0"/>
          <w:rtl/>
        </w:rPr>
      </w:pPr>
      <w:r>
        <w:rPr>
          <w:rFonts w:ascii="Arial" w:hAnsi="Arial" w:hint="cs"/>
          <w:noProof w:val="0"/>
          <w:rtl/>
        </w:rPr>
        <w:t>יישום עקרונות אלו על המקרה שלפניי, מוביל לתוצאה ברורה ומידית</w:t>
      </w:r>
      <w:r w:rsidR="004E797A">
        <w:rPr>
          <w:rFonts w:ascii="Arial" w:hAnsi="Arial" w:hint="cs"/>
          <w:noProof w:val="0"/>
          <w:rtl/>
        </w:rPr>
        <w:t xml:space="preserve"> -</w:t>
      </w:r>
      <w:r>
        <w:rPr>
          <w:rFonts w:ascii="Arial" w:hAnsi="Arial" w:hint="cs"/>
          <w:noProof w:val="0"/>
          <w:rtl/>
        </w:rPr>
        <w:t xml:space="preserve"> </w:t>
      </w:r>
      <w:r w:rsidRPr="00A744B3">
        <w:rPr>
          <w:rFonts w:ascii="Arial" w:hAnsi="Arial" w:hint="cs"/>
          <w:b/>
          <w:bCs/>
          <w:noProof w:val="0"/>
          <w:rtl/>
        </w:rPr>
        <w:t xml:space="preserve">לא </w:t>
      </w:r>
      <w:r>
        <w:rPr>
          <w:rFonts w:ascii="Arial" w:hAnsi="Arial" w:hint="cs"/>
          <w:noProof w:val="0"/>
          <w:rtl/>
        </w:rPr>
        <w:t xml:space="preserve">ניתן לגבות היטל השבחה </w:t>
      </w:r>
      <w:r w:rsidR="00A744B3">
        <w:rPr>
          <w:rFonts w:ascii="Arial" w:hAnsi="Arial" w:hint="cs"/>
          <w:noProof w:val="0"/>
          <w:rtl/>
        </w:rPr>
        <w:t xml:space="preserve">עבור תקופה </w:t>
      </w:r>
      <w:r>
        <w:rPr>
          <w:rFonts w:ascii="Arial" w:hAnsi="Arial" w:hint="cs"/>
          <w:noProof w:val="0"/>
          <w:rtl/>
        </w:rPr>
        <w:t>רטרואקטיבית</w:t>
      </w:r>
      <w:r w:rsidR="00A744B3">
        <w:rPr>
          <w:rFonts w:ascii="Arial" w:hAnsi="Arial" w:hint="cs"/>
          <w:noProof w:val="0"/>
          <w:rtl/>
        </w:rPr>
        <w:t xml:space="preserve"> שק</w:t>
      </w:r>
      <w:r w:rsidR="004E797A">
        <w:rPr>
          <w:rFonts w:ascii="Arial" w:hAnsi="Arial" w:hint="cs"/>
          <w:noProof w:val="0"/>
          <w:rtl/>
        </w:rPr>
        <w:t>ד</w:t>
      </w:r>
      <w:r w:rsidR="00A744B3">
        <w:rPr>
          <w:rFonts w:ascii="Arial" w:hAnsi="Arial" w:hint="cs"/>
          <w:noProof w:val="0"/>
          <w:rtl/>
        </w:rPr>
        <w:t>מה למועד אישור האקט התכנוני</w:t>
      </w:r>
      <w:r>
        <w:rPr>
          <w:rFonts w:ascii="Arial" w:hAnsi="Arial" w:hint="cs"/>
          <w:noProof w:val="0"/>
          <w:rtl/>
        </w:rPr>
        <w:t xml:space="preserve">, ואבאר.  </w:t>
      </w:r>
    </w:p>
    <w:p w:rsidR="0064022B" w:rsidRDefault="004C17CA" w:rsidP="004C17CA">
      <w:pPr>
        <w:pStyle w:val="ad"/>
        <w:numPr>
          <w:ilvl w:val="0"/>
          <w:numId w:val="1"/>
        </w:numPr>
        <w:spacing w:after="180" w:line="360" w:lineRule="auto"/>
        <w:ind w:left="510" w:hanging="567"/>
        <w:contextualSpacing w:val="0"/>
        <w:jc w:val="both"/>
        <w:rPr>
          <w:rFonts w:ascii="Arial" w:hAnsi="Arial"/>
          <w:noProof w:val="0"/>
        </w:rPr>
      </w:pPr>
      <w:r w:rsidRPr="004C17CA">
        <w:rPr>
          <w:rFonts w:ascii="Arial" w:hAnsi="Arial" w:hint="cs"/>
          <w:noProof w:val="0"/>
          <w:rtl/>
        </w:rPr>
        <w:t>ראשית, לעניין העיקרון</w:t>
      </w:r>
      <w:r>
        <w:rPr>
          <w:rFonts w:ascii="Arial" w:hAnsi="Arial" w:hint="cs"/>
          <w:noProof w:val="0"/>
          <w:rtl/>
        </w:rPr>
        <w:t xml:space="preserve"> הדורש התעשרות אשר הינה כתוצאה של האקט התכנוני, הרי ברו</w:t>
      </w:r>
      <w:r w:rsidR="0064022B">
        <w:rPr>
          <w:rFonts w:ascii="Arial" w:hAnsi="Arial" w:hint="cs"/>
          <w:noProof w:val="0"/>
          <w:rtl/>
        </w:rPr>
        <w:t xml:space="preserve">ר כי אף אם קיימת התעשרות של המערערות כאן, אין היא נובעת מהאקט התכנוני. </w:t>
      </w:r>
    </w:p>
    <w:p w:rsidR="0064022B" w:rsidRDefault="0064022B" w:rsidP="00A744B3">
      <w:pPr>
        <w:pStyle w:val="ad"/>
        <w:spacing w:after="180" w:line="360" w:lineRule="auto"/>
        <w:ind w:left="510"/>
        <w:contextualSpacing w:val="0"/>
        <w:jc w:val="both"/>
        <w:rPr>
          <w:rFonts w:ascii="Arial" w:hAnsi="Arial"/>
          <w:noProof w:val="0"/>
          <w:rtl/>
        </w:rPr>
      </w:pPr>
      <w:r>
        <w:rPr>
          <w:rFonts w:ascii="Arial" w:hAnsi="Arial" w:hint="cs"/>
          <w:noProof w:val="0"/>
          <w:rtl/>
        </w:rPr>
        <w:t>כלומר, ייתכן והמערערות</w:t>
      </w:r>
      <w:r w:rsidR="00A744B3">
        <w:rPr>
          <w:rFonts w:ascii="Arial" w:hAnsi="Arial" w:hint="cs"/>
          <w:noProof w:val="0"/>
          <w:rtl/>
        </w:rPr>
        <w:t>, או מי מטעמן,</w:t>
      </w:r>
      <w:r>
        <w:rPr>
          <w:rFonts w:ascii="Arial" w:hAnsi="Arial" w:hint="cs"/>
          <w:noProof w:val="0"/>
          <w:rtl/>
        </w:rPr>
        <w:t xml:space="preserve"> התעשרו מהשימוש החורג אשר נערך במקרקעין בשנים 2013-2015, אולם, התעשרות זו אינ</w:t>
      </w:r>
      <w:r w:rsidR="00A744B3">
        <w:rPr>
          <w:rFonts w:ascii="Arial" w:hAnsi="Arial" w:hint="cs"/>
          <w:noProof w:val="0"/>
          <w:rtl/>
        </w:rPr>
        <w:t>ה</w:t>
      </w:r>
      <w:r>
        <w:rPr>
          <w:rFonts w:ascii="Arial" w:hAnsi="Arial" w:hint="cs"/>
          <w:noProof w:val="0"/>
          <w:rtl/>
        </w:rPr>
        <w:t xml:space="preserve"> יכולה להיות תוצאה </w:t>
      </w:r>
      <w:r w:rsidR="00A744B3">
        <w:rPr>
          <w:rFonts w:ascii="Arial" w:hAnsi="Arial" w:hint="cs"/>
          <w:noProof w:val="0"/>
          <w:rtl/>
        </w:rPr>
        <w:t xml:space="preserve">של </w:t>
      </w:r>
      <w:r>
        <w:rPr>
          <w:rFonts w:ascii="Arial" w:hAnsi="Arial" w:hint="cs"/>
          <w:noProof w:val="0"/>
          <w:rtl/>
        </w:rPr>
        <w:t xml:space="preserve">אקט תכנוני (אישור השימוש החורג) שנעשה ביום 16.9.2015. </w:t>
      </w:r>
    </w:p>
    <w:p w:rsidR="0064022B" w:rsidRDefault="0064022B" w:rsidP="00A744B3">
      <w:pPr>
        <w:pStyle w:val="ad"/>
        <w:spacing w:after="180" w:line="360" w:lineRule="auto"/>
        <w:ind w:left="510"/>
        <w:contextualSpacing w:val="0"/>
        <w:jc w:val="both"/>
        <w:rPr>
          <w:rFonts w:ascii="Arial" w:hAnsi="Arial"/>
          <w:noProof w:val="0"/>
          <w:rtl/>
        </w:rPr>
      </w:pPr>
      <w:r>
        <w:rPr>
          <w:rFonts w:ascii="Arial" w:hAnsi="Arial" w:hint="cs"/>
          <w:noProof w:val="0"/>
          <w:rtl/>
        </w:rPr>
        <w:t xml:space="preserve">האקט התכנוני שאושר </w:t>
      </w:r>
      <w:r w:rsidR="00A744B3">
        <w:rPr>
          <w:rFonts w:ascii="Arial" w:hAnsi="Arial" w:hint="cs"/>
          <w:noProof w:val="0"/>
          <w:rtl/>
        </w:rPr>
        <w:t>ב</w:t>
      </w:r>
      <w:r>
        <w:rPr>
          <w:rFonts w:ascii="Arial" w:hAnsi="Arial" w:hint="cs"/>
          <w:noProof w:val="0"/>
          <w:rtl/>
        </w:rPr>
        <w:t xml:space="preserve">יום 16.9.2015 יכול לגרום לעליית ערך המקרקעין רק מיום זה ואילך, והוא </w:t>
      </w:r>
      <w:r w:rsidRPr="00A744B3">
        <w:rPr>
          <w:rFonts w:ascii="Arial" w:hAnsi="Arial" w:hint="cs"/>
          <w:b/>
          <w:bCs/>
          <w:noProof w:val="0"/>
          <w:rtl/>
        </w:rPr>
        <w:t>אינו</w:t>
      </w:r>
      <w:r>
        <w:rPr>
          <w:rFonts w:ascii="Arial" w:hAnsi="Arial" w:hint="cs"/>
          <w:noProof w:val="0"/>
          <w:rtl/>
        </w:rPr>
        <w:t xml:space="preserve"> יכול להשפיע על ערך המקרקעין בעבר.</w:t>
      </w:r>
    </w:p>
    <w:p w:rsidR="00F36EE7" w:rsidRDefault="00F36EE7" w:rsidP="00A744B3">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יוטעם, כי העולם שבו אנו חיים ביום יום</w:t>
      </w:r>
      <w:r w:rsidR="00C40D04">
        <w:rPr>
          <w:rFonts w:ascii="Arial" w:hAnsi="Arial" w:hint="cs"/>
          <w:noProof w:val="0"/>
          <w:rtl/>
        </w:rPr>
        <w:t>,</w:t>
      </w:r>
      <w:r>
        <w:rPr>
          <w:rFonts w:ascii="Arial" w:hAnsi="Arial" w:hint="cs"/>
          <w:noProof w:val="0"/>
          <w:rtl/>
        </w:rPr>
        <w:t xml:space="preserve"> הינו עולם </w:t>
      </w:r>
      <w:r w:rsidR="00A744B3">
        <w:rPr>
          <w:rFonts w:ascii="Arial" w:hAnsi="Arial" w:hint="cs"/>
          <w:noProof w:val="0"/>
          <w:rtl/>
        </w:rPr>
        <w:t xml:space="preserve">הפועל על פי חוקים של </w:t>
      </w:r>
      <w:r>
        <w:rPr>
          <w:rFonts w:ascii="Arial" w:hAnsi="Arial" w:hint="cs"/>
          <w:noProof w:val="0"/>
          <w:rtl/>
        </w:rPr>
        <w:t xml:space="preserve">"פיזיקה ניוטונית" כלומר עולם שמתנהג בקווים כלליים לפי עקרונות הפיסיקה שניסח </w:t>
      </w:r>
      <w:r w:rsidR="00A744B3">
        <w:rPr>
          <w:rFonts w:ascii="Arial" w:hAnsi="Arial" w:hint="cs"/>
          <w:noProof w:val="0"/>
          <w:rtl/>
        </w:rPr>
        <w:t xml:space="preserve">סר </w:t>
      </w:r>
      <w:r>
        <w:rPr>
          <w:rFonts w:ascii="Arial" w:hAnsi="Arial" w:hint="cs"/>
          <w:noProof w:val="0"/>
          <w:rtl/>
        </w:rPr>
        <w:t xml:space="preserve">אייזיק ניוטון, בספרו הנודע </w:t>
      </w:r>
      <w:r w:rsidRPr="00A744B3">
        <w:rPr>
          <w:rFonts w:ascii="Arial" w:hAnsi="Arial" w:hint="cs"/>
          <w:b/>
          <w:bCs/>
          <w:noProof w:val="0"/>
          <w:rtl/>
        </w:rPr>
        <w:t>"</w:t>
      </w:r>
      <w:r w:rsidRPr="00A744B3">
        <w:rPr>
          <w:rFonts w:ascii="Arial" w:hAnsi="Arial"/>
          <w:b/>
          <w:bCs/>
          <w:noProof w:val="0"/>
          <w:rtl/>
        </w:rPr>
        <w:t>עקרונות מתמטיים של פילוסופיית הטבע</w:t>
      </w:r>
      <w:r w:rsidRPr="00A744B3">
        <w:rPr>
          <w:rFonts w:ascii="Arial" w:hAnsi="Arial" w:hint="cs"/>
          <w:b/>
          <w:bCs/>
          <w:noProof w:val="0"/>
          <w:rtl/>
        </w:rPr>
        <w:t>"</w:t>
      </w:r>
      <w:r>
        <w:rPr>
          <w:rFonts w:ascii="Arial" w:hAnsi="Arial" w:hint="cs"/>
          <w:noProof w:val="0"/>
          <w:rtl/>
        </w:rPr>
        <w:t xml:space="preserve"> אשר התפרסם </w:t>
      </w:r>
      <w:r w:rsidR="00A744B3">
        <w:rPr>
          <w:rFonts w:ascii="Arial" w:hAnsi="Arial" w:hint="cs"/>
          <w:noProof w:val="0"/>
          <w:rtl/>
        </w:rPr>
        <w:t xml:space="preserve">עוד </w:t>
      </w:r>
      <w:r>
        <w:rPr>
          <w:rFonts w:ascii="Arial" w:hAnsi="Arial" w:hint="cs"/>
          <w:noProof w:val="0"/>
          <w:rtl/>
        </w:rPr>
        <w:t xml:space="preserve">ביום 5.7.1687. בהתאם לעקרונות שטווה וניסח ניוטון, פעולה שמבוצעת כעת יש בה להשפיע על </w:t>
      </w:r>
      <w:r w:rsidRPr="00A744B3">
        <w:rPr>
          <w:rFonts w:ascii="Arial" w:hAnsi="Arial" w:hint="cs"/>
          <w:b/>
          <w:bCs/>
          <w:noProof w:val="0"/>
          <w:rtl/>
        </w:rPr>
        <w:t>העתיד</w:t>
      </w:r>
      <w:r>
        <w:rPr>
          <w:rFonts w:ascii="Arial" w:hAnsi="Arial" w:hint="cs"/>
          <w:noProof w:val="0"/>
          <w:rtl/>
        </w:rPr>
        <w:t>, אולם לעולם לא על העבר.</w:t>
      </w:r>
    </w:p>
    <w:p w:rsidR="00694556" w:rsidRPr="00B42809" w:rsidRDefault="00F36EE7" w:rsidP="00A744B3">
      <w:pPr>
        <w:pStyle w:val="ad"/>
        <w:spacing w:after="180" w:line="360" w:lineRule="auto"/>
        <w:ind w:left="510"/>
        <w:contextualSpacing w:val="0"/>
        <w:jc w:val="both"/>
        <w:rPr>
          <w:rFonts w:ascii="David" w:hAnsi="David"/>
          <w:noProof w:val="0"/>
          <w:sz w:val="20"/>
          <w:szCs w:val="20"/>
          <w:rtl/>
        </w:rPr>
      </w:pPr>
      <w:r w:rsidRPr="00B42809">
        <w:rPr>
          <w:rFonts w:ascii="Arial" w:hAnsi="Arial" w:hint="cs"/>
          <w:noProof w:val="0"/>
          <w:rtl/>
        </w:rPr>
        <w:t>עוד על סיבתיות</w:t>
      </w:r>
      <w:r w:rsidR="00B42809" w:rsidRPr="00B42809">
        <w:rPr>
          <w:rFonts w:ascii="Arial" w:hAnsi="Arial" w:hint="cs"/>
          <w:noProof w:val="0"/>
          <w:rtl/>
        </w:rPr>
        <w:t xml:space="preserve"> </w:t>
      </w:r>
      <w:r w:rsidR="00A744B3">
        <w:rPr>
          <w:rFonts w:ascii="Arial" w:hAnsi="Arial" w:hint="cs"/>
          <w:noProof w:val="0"/>
          <w:rtl/>
        </w:rPr>
        <w:t xml:space="preserve">לאורך </w:t>
      </w:r>
      <w:r w:rsidR="00B42809" w:rsidRPr="00B42809">
        <w:rPr>
          <w:rFonts w:ascii="Arial" w:hAnsi="Arial" w:hint="cs"/>
          <w:noProof w:val="0"/>
          <w:rtl/>
        </w:rPr>
        <w:t>ציר זמן, ר' החיבור הידוע -</w:t>
      </w:r>
      <w:r w:rsidR="00B42809">
        <w:t xml:space="preserve">Russell Bertrand, </w:t>
      </w:r>
      <w:r w:rsidR="00B42809" w:rsidRPr="00B42809">
        <w:rPr>
          <w:b/>
          <w:bCs/>
        </w:rPr>
        <w:t>"On the Notion of Cause"</w:t>
      </w:r>
      <w:r w:rsidR="00B42809">
        <w:t>, Proceedings of the Aristotelian Society, vol. 13 (1913), pp. 1-26.</w:t>
      </w:r>
    </w:p>
    <w:p w:rsidR="00B42809" w:rsidRDefault="00B42809" w:rsidP="00A744B3">
      <w:pPr>
        <w:pStyle w:val="ad"/>
        <w:spacing w:after="180" w:line="360" w:lineRule="auto"/>
        <w:ind w:left="510"/>
        <w:contextualSpacing w:val="0"/>
        <w:jc w:val="both"/>
        <w:rPr>
          <w:rFonts w:ascii="Arial" w:hAnsi="Arial"/>
          <w:noProof w:val="0"/>
        </w:rPr>
      </w:pPr>
      <w:r>
        <w:rPr>
          <w:rFonts w:ascii="Arial" w:hAnsi="Arial" w:hint="cs"/>
          <w:noProof w:val="0"/>
          <w:rtl/>
        </w:rPr>
        <w:t>אכן, כאשר אנו עוסקים במהירויות גבוהות, הקרובות למהירות האור, או כאשר אנו עוסקים בחלקיקים קטנים</w:t>
      </w:r>
      <w:r w:rsidR="00A744B3">
        <w:rPr>
          <w:rFonts w:ascii="Arial" w:hAnsi="Arial" w:hint="cs"/>
          <w:noProof w:val="0"/>
          <w:rtl/>
        </w:rPr>
        <w:t xml:space="preserve"> שבקטנים, אנו גולשים </w:t>
      </w:r>
      <w:r>
        <w:rPr>
          <w:rFonts w:ascii="Arial" w:hAnsi="Arial" w:hint="cs"/>
          <w:noProof w:val="0"/>
          <w:rtl/>
        </w:rPr>
        <w:t>לתחולת תיאורי</w:t>
      </w:r>
      <w:r w:rsidR="00A744B3">
        <w:rPr>
          <w:rFonts w:ascii="Arial" w:hAnsi="Arial" w:hint="cs"/>
          <w:noProof w:val="0"/>
          <w:rtl/>
        </w:rPr>
        <w:t>ו</w:t>
      </w:r>
      <w:r>
        <w:rPr>
          <w:rFonts w:ascii="Arial" w:hAnsi="Arial" w:hint="cs"/>
          <w:noProof w:val="0"/>
          <w:rtl/>
        </w:rPr>
        <w:t xml:space="preserve">ת </w:t>
      </w:r>
      <w:r w:rsidR="00A744B3">
        <w:rPr>
          <w:rFonts w:ascii="Arial" w:hAnsi="Arial" w:hint="cs"/>
          <w:noProof w:val="0"/>
          <w:rtl/>
        </w:rPr>
        <w:t xml:space="preserve">אחרות כגון, </w:t>
      </w:r>
      <w:r>
        <w:rPr>
          <w:rFonts w:ascii="Arial" w:hAnsi="Arial" w:hint="cs"/>
          <w:noProof w:val="0"/>
          <w:rtl/>
        </w:rPr>
        <w:t>תורת היחסות של איינשטיין</w:t>
      </w:r>
      <w:r w:rsidR="00A744B3">
        <w:rPr>
          <w:rFonts w:ascii="Arial" w:hAnsi="Arial" w:hint="cs"/>
          <w:noProof w:val="0"/>
          <w:rtl/>
        </w:rPr>
        <w:t>,</w:t>
      </w:r>
      <w:r>
        <w:rPr>
          <w:rFonts w:ascii="Arial" w:hAnsi="Arial" w:hint="cs"/>
          <w:noProof w:val="0"/>
          <w:rtl/>
        </w:rPr>
        <w:t xml:space="preserve"> או תאוריות קוונטיות מורכבות, אשר במסגרת</w:t>
      </w:r>
      <w:r w:rsidR="00A744B3">
        <w:rPr>
          <w:rFonts w:ascii="Arial" w:hAnsi="Arial" w:hint="cs"/>
          <w:noProof w:val="0"/>
          <w:rtl/>
        </w:rPr>
        <w:t>ן</w:t>
      </w:r>
      <w:r>
        <w:rPr>
          <w:rFonts w:ascii="Arial" w:hAnsi="Arial" w:hint="cs"/>
          <w:noProof w:val="0"/>
          <w:rtl/>
        </w:rPr>
        <w:t xml:space="preserve"> נ</w:t>
      </w:r>
      <w:r w:rsidR="00185782">
        <w:rPr>
          <w:rFonts w:ascii="Arial" w:hAnsi="Arial" w:hint="cs"/>
          <w:noProof w:val="0"/>
          <w:rtl/>
        </w:rPr>
        <w:t>יתן להטיל ספק בלינאריות של הזמן.</w:t>
      </w:r>
    </w:p>
    <w:p w:rsidR="00B42809" w:rsidRDefault="00B42809" w:rsidP="003B00D3">
      <w:pPr>
        <w:pStyle w:val="ad"/>
        <w:spacing w:after="180" w:line="360" w:lineRule="auto"/>
        <w:ind w:left="510"/>
        <w:contextualSpacing w:val="0"/>
        <w:jc w:val="both"/>
        <w:rPr>
          <w:rFonts w:ascii="Arial" w:hAnsi="Arial"/>
          <w:noProof w:val="0"/>
        </w:rPr>
      </w:pPr>
      <w:r>
        <w:rPr>
          <w:rFonts w:ascii="Arial" w:hAnsi="Arial" w:hint="cs"/>
          <w:noProof w:val="0"/>
          <w:rtl/>
        </w:rPr>
        <w:t xml:space="preserve">אולם, כאשר אנו עוסקים באקט תכנוני של מתן אישור לשימוש חורג, הרי בעולם המעשי והניוטוני בו אנו חיים, </w:t>
      </w:r>
      <w:r w:rsidR="003B00D3">
        <w:rPr>
          <w:rFonts w:ascii="Arial" w:hAnsi="Arial" w:hint="cs"/>
          <w:noProof w:val="0"/>
          <w:rtl/>
        </w:rPr>
        <w:t>אקט זה יכול להשפיע על ערך המקרקעין רק בעתיד ולא בעבר.</w:t>
      </w:r>
    </w:p>
    <w:p w:rsidR="00185782" w:rsidRDefault="00185782" w:rsidP="00195D8D">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מכאן, העיקרון הראשון של התעשרות כתוצאה מאקט תכנוני אינו מתקיים עת הכוונה לחייב בהיטל השבחה על תקופה שקדמה לאקט התכנוני.</w:t>
      </w:r>
    </w:p>
    <w:p w:rsidR="00802271" w:rsidRDefault="00802271">
      <w:pPr>
        <w:bidi w:val="0"/>
        <w:rPr>
          <w:rFonts w:ascii="Arial" w:hAnsi="Arial"/>
          <w:noProof w:val="0"/>
        </w:rPr>
      </w:pPr>
      <w:r>
        <w:rPr>
          <w:rFonts w:ascii="Arial" w:hAnsi="Arial"/>
          <w:noProof w:val="0"/>
          <w:rtl/>
        </w:rPr>
        <w:br w:type="page"/>
      </w:r>
    </w:p>
    <w:p w:rsidR="00195D8D" w:rsidRDefault="003A780D" w:rsidP="004E797A">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lastRenderedPageBreak/>
        <w:t>כ</w:t>
      </w:r>
      <w:r w:rsidR="00195D8D">
        <w:rPr>
          <w:rFonts w:ascii="Arial" w:hAnsi="Arial" w:hint="cs"/>
          <w:noProof w:val="0"/>
          <w:rtl/>
        </w:rPr>
        <w:t>מובן, כי גם העיקרון השני אינו ניתן ליישום על המקרה</w:t>
      </w:r>
      <w:r w:rsidR="00185782">
        <w:rPr>
          <w:rFonts w:ascii="Arial" w:hAnsi="Arial" w:hint="cs"/>
          <w:noProof w:val="0"/>
          <w:rtl/>
        </w:rPr>
        <w:t>.</w:t>
      </w:r>
      <w:r w:rsidR="00195D8D">
        <w:rPr>
          <w:rFonts w:ascii="Arial" w:hAnsi="Arial" w:hint="cs"/>
          <w:noProof w:val="0"/>
          <w:rtl/>
        </w:rPr>
        <w:t xml:space="preserve"> האקט התכנוני בוצע ביום 16.9.2015, </w:t>
      </w:r>
      <w:r w:rsidR="00185782">
        <w:rPr>
          <w:rFonts w:ascii="Arial" w:hAnsi="Arial" w:hint="cs"/>
          <w:noProof w:val="0"/>
          <w:rtl/>
        </w:rPr>
        <w:t xml:space="preserve">עת אישרה הוועדה המקומית את השימוש חורג. מכן </w:t>
      </w:r>
      <w:r w:rsidR="00C75DA2">
        <w:rPr>
          <w:rFonts w:ascii="Arial" w:hAnsi="Arial" w:hint="cs"/>
          <w:noProof w:val="0"/>
          <w:rtl/>
        </w:rPr>
        <w:t xml:space="preserve">שבהתאם לעיקרון השני, את </w:t>
      </w:r>
      <w:r w:rsidR="00195D8D">
        <w:rPr>
          <w:rFonts w:ascii="Arial" w:hAnsi="Arial" w:hint="cs"/>
          <w:noProof w:val="0"/>
          <w:rtl/>
        </w:rPr>
        <w:t>ערך המקרקעין</w:t>
      </w:r>
      <w:r w:rsidR="00C75DA2">
        <w:rPr>
          <w:rFonts w:ascii="Arial" w:hAnsi="Arial" w:hint="cs"/>
          <w:noProof w:val="0"/>
          <w:rtl/>
        </w:rPr>
        <w:t xml:space="preserve"> יש </w:t>
      </w:r>
      <w:r w:rsidR="00195D8D">
        <w:rPr>
          <w:rFonts w:ascii="Arial" w:hAnsi="Arial" w:hint="cs"/>
          <w:noProof w:val="0"/>
          <w:rtl/>
        </w:rPr>
        <w:t>לשום ליום ערב האקט המשביח (בניכוי הצפיות הנובעות מהליך השימוש החורג) וליום שלאחר האקט המשביח</w:t>
      </w:r>
      <w:r w:rsidR="00C75DA2">
        <w:rPr>
          <w:rFonts w:ascii="Arial" w:hAnsi="Arial" w:hint="cs"/>
          <w:noProof w:val="0"/>
          <w:rtl/>
        </w:rPr>
        <w:t>, כלומר ל</w:t>
      </w:r>
      <w:r w:rsidR="004E797A">
        <w:rPr>
          <w:rFonts w:ascii="Arial" w:hAnsi="Arial" w:hint="cs"/>
          <w:noProof w:val="0"/>
          <w:rtl/>
        </w:rPr>
        <w:t>פני ואחרי יום 16.9.2015. מכאן</w:t>
      </w:r>
      <w:r w:rsidR="00195D8D">
        <w:rPr>
          <w:rFonts w:ascii="Arial" w:hAnsi="Arial" w:hint="cs"/>
          <w:noProof w:val="0"/>
          <w:rtl/>
        </w:rPr>
        <w:t>, שעיקרון זה אינו יכול להיות מיושם לשנת 2013, טרם נולד האקט המשביח.</w:t>
      </w:r>
    </w:p>
    <w:p w:rsidR="00B42809" w:rsidRDefault="00195D8D" w:rsidP="00C75DA2">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לאור האמור לעיל, ברור </w:t>
      </w:r>
      <w:r w:rsidR="009022E5">
        <w:rPr>
          <w:rFonts w:ascii="Arial" w:hAnsi="Arial" w:hint="cs"/>
          <w:noProof w:val="0"/>
          <w:rtl/>
        </w:rPr>
        <w:t xml:space="preserve">שדרך המלך, המוכתבת מעקרונות </w:t>
      </w:r>
      <w:r w:rsidR="00C75DA2">
        <w:rPr>
          <w:rFonts w:ascii="Arial" w:hAnsi="Arial" w:hint="cs"/>
          <w:noProof w:val="0"/>
          <w:rtl/>
        </w:rPr>
        <w:t xml:space="preserve">הבסיס של </w:t>
      </w:r>
      <w:r w:rsidR="009022E5">
        <w:rPr>
          <w:rFonts w:ascii="Arial" w:hAnsi="Arial" w:hint="cs"/>
          <w:noProof w:val="0"/>
          <w:rtl/>
        </w:rPr>
        <w:t>דיני היטל ההשבחה הינה, כי האקט התכנוני המשביח פועל מהיום שאושר ול</w:t>
      </w:r>
      <w:r w:rsidR="00C75DA2">
        <w:rPr>
          <w:rFonts w:ascii="Arial" w:hAnsi="Arial" w:hint="cs"/>
          <w:noProof w:val="0"/>
          <w:rtl/>
        </w:rPr>
        <w:t>עתיד</w:t>
      </w:r>
      <w:r w:rsidR="009022E5">
        <w:rPr>
          <w:rFonts w:ascii="Arial" w:hAnsi="Arial" w:hint="cs"/>
          <w:noProof w:val="0"/>
          <w:rtl/>
        </w:rPr>
        <w:t>, ו</w:t>
      </w:r>
      <w:r w:rsidR="00C75DA2">
        <w:rPr>
          <w:rFonts w:ascii="Arial" w:hAnsi="Arial" w:hint="cs"/>
          <w:noProof w:val="0"/>
          <w:rtl/>
        </w:rPr>
        <w:t>לא ניתן</w:t>
      </w:r>
      <w:r w:rsidR="009022E5">
        <w:rPr>
          <w:rFonts w:ascii="Arial" w:hAnsi="Arial" w:hint="cs"/>
          <w:noProof w:val="0"/>
          <w:rtl/>
        </w:rPr>
        <w:t xml:space="preserve"> לחייב בהיטל השבחה על פעולות שנעשו קודם לאקט התכנוני וזאת </w:t>
      </w:r>
      <w:r w:rsidR="00C75DA2">
        <w:rPr>
          <w:rFonts w:ascii="Arial" w:hAnsi="Arial" w:hint="cs"/>
          <w:noProof w:val="0"/>
          <w:rtl/>
        </w:rPr>
        <w:t>ב</w:t>
      </w:r>
      <w:r w:rsidR="009022E5">
        <w:rPr>
          <w:rFonts w:ascii="Arial" w:hAnsi="Arial" w:hint="cs"/>
          <w:noProof w:val="0"/>
          <w:rtl/>
        </w:rPr>
        <w:t>העדר קשר סיבתי.</w:t>
      </w:r>
    </w:p>
    <w:p w:rsidR="00907729" w:rsidRDefault="009022E5" w:rsidP="00497316">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עם זאת, כאשר עסקינן בהיטל השבחה, לא ניתן לעצור בשלב זה. הפסיקה, כמו גם המלומדים, הכירו בכך</w:t>
      </w:r>
      <w:r w:rsidR="00907729">
        <w:rPr>
          <w:rFonts w:ascii="Arial" w:hAnsi="Arial" w:hint="cs"/>
          <w:noProof w:val="0"/>
          <w:rtl/>
        </w:rPr>
        <w:t xml:space="preserve"> כי יישום עקרונות דיני היטל ההשבחה כלשונם עלול להוביל לתוצאה נורמטיבית שאינה ראויה, ומכאן נקבעו מ</w:t>
      </w:r>
      <w:r w:rsidR="00C75DA2">
        <w:rPr>
          <w:rFonts w:ascii="Arial" w:hAnsi="Arial" w:hint="cs"/>
          <w:noProof w:val="0"/>
          <w:rtl/>
        </w:rPr>
        <w:t>ק</w:t>
      </w:r>
      <w:r w:rsidR="00907729">
        <w:rPr>
          <w:rFonts w:ascii="Arial" w:hAnsi="Arial" w:hint="cs"/>
          <w:noProof w:val="0"/>
          <w:rtl/>
        </w:rPr>
        <w:t>רים בהם על מנת להגשים עקרון מסוים, יש מקום לסטות מהעקרונות הכלליים</w:t>
      </w:r>
      <w:r w:rsidR="00C75DA2">
        <w:rPr>
          <w:rFonts w:ascii="Arial" w:hAnsi="Arial" w:hint="cs"/>
          <w:noProof w:val="0"/>
          <w:rtl/>
        </w:rPr>
        <w:t xml:space="preserve"> והבסיסיים</w:t>
      </w:r>
      <w:r w:rsidR="00907729">
        <w:rPr>
          <w:rFonts w:ascii="Arial" w:hAnsi="Arial" w:hint="cs"/>
          <w:noProof w:val="0"/>
          <w:rtl/>
        </w:rPr>
        <w:t xml:space="preserve">. </w:t>
      </w:r>
    </w:p>
    <w:p w:rsidR="009022E5" w:rsidRDefault="00907729" w:rsidP="00F675D9">
      <w:pPr>
        <w:pStyle w:val="ad"/>
        <w:spacing w:after="180" w:line="360" w:lineRule="auto"/>
        <w:ind w:left="510"/>
        <w:contextualSpacing w:val="0"/>
        <w:jc w:val="both"/>
        <w:rPr>
          <w:rFonts w:ascii="Arial" w:hAnsi="Arial"/>
          <w:noProof w:val="0"/>
          <w:rtl/>
        </w:rPr>
      </w:pPr>
      <w:r>
        <w:rPr>
          <w:rFonts w:ascii="Arial" w:hAnsi="Arial" w:hint="cs"/>
          <w:noProof w:val="0"/>
          <w:rtl/>
        </w:rPr>
        <w:t xml:space="preserve">עמדה על זו ועדת הערר בהחלטתה </w:t>
      </w:r>
      <w:r w:rsidR="00F675D9">
        <w:rPr>
          <w:rFonts w:ascii="Arial" w:hAnsi="Arial" w:hint="cs"/>
          <w:noProof w:val="0"/>
          <w:rtl/>
        </w:rPr>
        <w:t>נשוא הערעור</w:t>
      </w:r>
      <w:r>
        <w:rPr>
          <w:rFonts w:ascii="Arial" w:hAnsi="Arial" w:hint="cs"/>
          <w:noProof w:val="0"/>
          <w:rtl/>
        </w:rPr>
        <w:t>:</w:t>
      </w:r>
    </w:p>
    <w:p w:rsidR="00907729" w:rsidRPr="00907729" w:rsidRDefault="00907729" w:rsidP="00F675D9">
      <w:pPr>
        <w:pStyle w:val="ad"/>
        <w:spacing w:after="180" w:line="360" w:lineRule="auto"/>
        <w:ind w:left="1077" w:right="284"/>
        <w:contextualSpacing w:val="0"/>
        <w:jc w:val="both"/>
        <w:rPr>
          <w:rFonts w:ascii="Arial" w:hAnsi="Arial"/>
          <w:b/>
          <w:bCs/>
          <w:noProof w:val="0"/>
          <w:rtl/>
        </w:rPr>
      </w:pPr>
      <w:r w:rsidRPr="00907729">
        <w:rPr>
          <w:rFonts w:ascii="Arial" w:hAnsi="Arial" w:hint="cs"/>
          <w:b/>
          <w:bCs/>
          <w:noProof w:val="0"/>
          <w:rtl/>
        </w:rPr>
        <w:t>"</w:t>
      </w:r>
      <w:r w:rsidRPr="00907729">
        <w:rPr>
          <w:rFonts w:ascii="Arial" w:hAnsi="Arial"/>
          <w:b/>
          <w:bCs/>
          <w:noProof w:val="0"/>
          <w:rtl/>
        </w:rPr>
        <w:t>הפסיקה האמורה משקפת סטייה ממבחן השוק במשמעות הצרה של מונח זה ומעבר לקביעת שווי שוק נורמטיבית. בהתאמה ניתן לבחון לטעמנו עליית ערך נורמטיבית גם כאשר מדובר באישור של שימוש חורג בדיעבד.</w:t>
      </w:r>
      <w:r w:rsidRPr="00907729">
        <w:rPr>
          <w:rFonts w:ascii="Arial" w:hAnsi="Arial" w:hint="cs"/>
          <w:b/>
          <w:bCs/>
          <w:noProof w:val="0"/>
          <w:rtl/>
        </w:rPr>
        <w:t>"</w:t>
      </w:r>
    </w:p>
    <w:p w:rsidR="00F675D9" w:rsidRDefault="00F675D9" w:rsidP="002F226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עמדה זו מקובלת עליי באופן עקרוני</w:t>
      </w:r>
      <w:r w:rsidR="00C75DA2">
        <w:rPr>
          <w:rFonts w:ascii="Arial" w:hAnsi="Arial" w:hint="cs"/>
          <w:noProof w:val="0"/>
          <w:rtl/>
        </w:rPr>
        <w:t>,</w:t>
      </w:r>
      <w:r>
        <w:rPr>
          <w:rFonts w:ascii="Arial" w:hAnsi="Arial" w:hint="cs"/>
          <w:noProof w:val="0"/>
          <w:rtl/>
        </w:rPr>
        <w:t xml:space="preserve"> והיא אף מעוגנת </w:t>
      </w:r>
      <w:r w:rsidR="00C75DA2">
        <w:rPr>
          <w:rFonts w:ascii="Arial" w:hAnsi="Arial" w:hint="cs"/>
          <w:noProof w:val="0"/>
          <w:rtl/>
        </w:rPr>
        <w:t xml:space="preserve">היטב </w:t>
      </w:r>
      <w:r>
        <w:rPr>
          <w:rFonts w:ascii="Arial" w:hAnsi="Arial" w:hint="cs"/>
          <w:noProof w:val="0"/>
          <w:rtl/>
        </w:rPr>
        <w:t xml:space="preserve">בפסיקת בית המשפט העליון, ר' סקירה מפורטת בעניין </w:t>
      </w:r>
      <w:r w:rsidR="002F226B">
        <w:rPr>
          <w:rFonts w:ascii="Arial" w:hAnsi="Arial" w:hint="cs"/>
          <w:noProof w:val="0"/>
          <w:rtl/>
        </w:rPr>
        <w:t xml:space="preserve">שקילת שיקולים נורמטיביים בעת הטלת היטל השבחה </w:t>
      </w:r>
      <w:r w:rsidR="00C75DA2">
        <w:rPr>
          <w:rFonts w:ascii="Arial" w:hAnsi="Arial" w:hint="cs"/>
          <w:noProof w:val="0"/>
          <w:rtl/>
        </w:rPr>
        <w:t>ב</w:t>
      </w:r>
      <w:r w:rsidRPr="00F675D9">
        <w:rPr>
          <w:rFonts w:ascii="Arial" w:hAnsi="Arial"/>
          <w:noProof w:val="0"/>
          <w:rtl/>
        </w:rPr>
        <w:t>עמ</w:t>
      </w:r>
      <w:r>
        <w:rPr>
          <w:rFonts w:ascii="Arial" w:hAnsi="Arial" w:hint="cs"/>
          <w:noProof w:val="0"/>
          <w:rtl/>
        </w:rPr>
        <w:t>"</w:t>
      </w:r>
      <w:r w:rsidRPr="00F675D9">
        <w:rPr>
          <w:rFonts w:ascii="Arial" w:hAnsi="Arial"/>
          <w:noProof w:val="0"/>
          <w:rtl/>
        </w:rPr>
        <w:t xml:space="preserve">ן (ת"א) 39445-12-21 </w:t>
      </w:r>
      <w:r w:rsidRPr="00F675D9">
        <w:rPr>
          <w:rFonts w:ascii="Arial" w:hAnsi="Arial"/>
          <w:b/>
          <w:bCs/>
          <w:noProof w:val="0"/>
          <w:rtl/>
        </w:rPr>
        <w:t>הוועדה המקומית לתכנון ולבניה הרצליה נ' אפריקה ישראל מגורים בע"מ</w:t>
      </w:r>
      <w:r>
        <w:rPr>
          <w:rFonts w:ascii="Arial" w:hAnsi="Arial" w:hint="cs"/>
          <w:noProof w:val="0"/>
          <w:rtl/>
        </w:rPr>
        <w:t xml:space="preserve"> [פורסם במאגר נבו] (16.5.2023).</w:t>
      </w:r>
    </w:p>
    <w:p w:rsidR="00907729" w:rsidRDefault="00554B37" w:rsidP="002F226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עם זאת</w:t>
      </w:r>
      <w:r w:rsidR="00BA1D43">
        <w:rPr>
          <w:rFonts w:ascii="Arial" w:hAnsi="Arial" w:hint="cs"/>
          <w:noProof w:val="0"/>
          <w:rtl/>
        </w:rPr>
        <w:t>, לא מצאתי במקרה שלפניי</w:t>
      </w:r>
      <w:r w:rsidR="002F226B">
        <w:rPr>
          <w:rFonts w:ascii="Arial" w:hAnsi="Arial" w:hint="cs"/>
          <w:noProof w:val="0"/>
          <w:rtl/>
        </w:rPr>
        <w:t xml:space="preserve"> </w:t>
      </w:r>
      <w:r w:rsidR="00C75DA2">
        <w:rPr>
          <w:rFonts w:ascii="Arial" w:hAnsi="Arial" w:hint="cs"/>
          <w:noProof w:val="0"/>
          <w:rtl/>
        </w:rPr>
        <w:t>שיש</w:t>
      </w:r>
      <w:r w:rsidR="00BA1D43">
        <w:rPr>
          <w:rFonts w:ascii="Arial" w:hAnsi="Arial" w:hint="cs"/>
          <w:noProof w:val="0"/>
          <w:rtl/>
        </w:rPr>
        <w:t xml:space="preserve"> בהנמקות ועדת הערר </w:t>
      </w:r>
      <w:r w:rsidR="00C75DA2">
        <w:rPr>
          <w:rFonts w:ascii="Arial" w:hAnsi="Arial" w:hint="cs"/>
          <w:noProof w:val="0"/>
          <w:rtl/>
        </w:rPr>
        <w:t xml:space="preserve">או </w:t>
      </w:r>
      <w:r w:rsidR="00BA1D43">
        <w:rPr>
          <w:rFonts w:ascii="Arial" w:hAnsi="Arial" w:hint="cs"/>
          <w:noProof w:val="0"/>
          <w:rtl/>
        </w:rPr>
        <w:t xml:space="preserve">בטיעוני המשיבה, הצדקה לסטות מהעיקרון הבסיסי הדורש קשר סיבתי בין האקט התכנוני לבין ההתעשרות. </w:t>
      </w:r>
      <w:r w:rsidR="00497316">
        <w:rPr>
          <w:rFonts w:ascii="Arial" w:hAnsi="Arial" w:hint="cs"/>
          <w:noProof w:val="0"/>
          <w:rtl/>
        </w:rPr>
        <w:t xml:space="preserve">אבהיר, אף אם מבחינה עקרונית ניתן לסטות מעיקרון הקשר הסיבתי, הרי לטעמי, ועדת הערר או המשיבה, לא ביססו טיעון תקף לעשות כן. </w:t>
      </w:r>
    </w:p>
    <w:p w:rsidR="00802271" w:rsidRDefault="00C75DA2" w:rsidP="00C75DA2">
      <w:pPr>
        <w:pStyle w:val="ad"/>
        <w:spacing w:after="180" w:line="360" w:lineRule="auto"/>
        <w:ind w:left="510"/>
        <w:contextualSpacing w:val="0"/>
        <w:jc w:val="both"/>
        <w:rPr>
          <w:rFonts w:ascii="Arial" w:hAnsi="Arial"/>
          <w:noProof w:val="0"/>
          <w:rtl/>
        </w:rPr>
      </w:pPr>
      <w:r>
        <w:rPr>
          <w:rFonts w:ascii="Arial" w:hAnsi="Arial" w:hint="cs"/>
          <w:noProof w:val="0"/>
          <w:rtl/>
        </w:rPr>
        <w:t>יתרה מזו, אני סבור כי מבחינה נורמטיבית, אין מקום לאפשר גביית היטל השבחה על מעשים שבוצעו בעבר שלא כדין, ואנמק.</w:t>
      </w:r>
    </w:p>
    <w:p w:rsidR="00802271" w:rsidRDefault="00802271">
      <w:pPr>
        <w:bidi w:val="0"/>
        <w:rPr>
          <w:rFonts w:ascii="Arial" w:hAnsi="Arial"/>
          <w:noProof w:val="0"/>
        </w:rPr>
      </w:pPr>
      <w:r>
        <w:rPr>
          <w:rFonts w:ascii="Arial" w:hAnsi="Arial"/>
          <w:noProof w:val="0"/>
          <w:rtl/>
        </w:rPr>
        <w:br w:type="page"/>
      </w:r>
    </w:p>
    <w:p w:rsidR="00BA1D43" w:rsidRPr="00BA1D43" w:rsidRDefault="00BA1D43" w:rsidP="00BA1D43">
      <w:pPr>
        <w:spacing w:after="180" w:line="360" w:lineRule="auto"/>
        <w:ind w:left="-57"/>
        <w:jc w:val="both"/>
        <w:rPr>
          <w:rFonts w:ascii="Arial" w:hAnsi="Arial"/>
          <w:b/>
          <w:bCs/>
          <w:noProof w:val="0"/>
          <w:u w:val="single"/>
        </w:rPr>
      </w:pPr>
      <w:r w:rsidRPr="00BA1D43">
        <w:rPr>
          <w:rFonts w:ascii="Arial" w:hAnsi="Arial" w:hint="cs"/>
          <w:b/>
          <w:bCs/>
          <w:noProof w:val="0"/>
          <w:u w:val="single"/>
          <w:rtl/>
        </w:rPr>
        <w:lastRenderedPageBreak/>
        <w:t>"לא י</w:t>
      </w:r>
      <w:r w:rsidR="00763296">
        <w:rPr>
          <w:rFonts w:ascii="Arial" w:hAnsi="Arial" w:hint="cs"/>
          <w:b/>
          <w:bCs/>
          <w:noProof w:val="0"/>
          <w:u w:val="single"/>
          <w:rtl/>
        </w:rPr>
        <w:t>הא</w:t>
      </w:r>
      <w:r w:rsidRPr="00BA1D43">
        <w:rPr>
          <w:rFonts w:ascii="Arial" w:hAnsi="Arial" w:hint="cs"/>
          <w:b/>
          <w:bCs/>
          <w:noProof w:val="0"/>
          <w:u w:val="single"/>
          <w:rtl/>
        </w:rPr>
        <w:t xml:space="preserve"> חוטא נשכר"</w:t>
      </w:r>
      <w:r w:rsidR="00E95C65">
        <w:rPr>
          <w:rFonts w:ascii="Arial" w:hAnsi="Arial" w:hint="cs"/>
          <w:b/>
          <w:bCs/>
          <w:noProof w:val="0"/>
          <w:u w:val="single"/>
          <w:rtl/>
        </w:rPr>
        <w:t xml:space="preserve"> </w:t>
      </w:r>
      <w:r w:rsidR="00E95C65">
        <w:rPr>
          <w:rFonts w:ascii="Arial" w:hAnsi="Arial"/>
          <w:b/>
          <w:bCs/>
          <w:noProof w:val="0"/>
          <w:u w:val="single"/>
          <w:rtl/>
        </w:rPr>
        <w:t>–</w:t>
      </w:r>
      <w:r w:rsidR="00E95C65">
        <w:rPr>
          <w:rFonts w:ascii="Arial" w:hAnsi="Arial" w:hint="cs"/>
          <w:b/>
          <w:bCs/>
          <w:noProof w:val="0"/>
          <w:u w:val="single"/>
          <w:rtl/>
        </w:rPr>
        <w:t xml:space="preserve"> עקרון ההתעשרות</w:t>
      </w:r>
    </w:p>
    <w:p w:rsidR="00BA1D43" w:rsidRDefault="00BA1D43" w:rsidP="00B45594">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הנימוק המרכזי של ועדת הערר ושל המשיבה, נעוץ בעיקרון "לא </w:t>
      </w:r>
      <w:r w:rsidR="00763296">
        <w:rPr>
          <w:rFonts w:ascii="Arial" w:hAnsi="Arial" w:hint="cs"/>
          <w:noProof w:val="0"/>
          <w:rtl/>
        </w:rPr>
        <w:t xml:space="preserve">יהא </w:t>
      </w:r>
      <w:r>
        <w:rPr>
          <w:rFonts w:ascii="Arial" w:hAnsi="Arial" w:hint="cs"/>
          <w:noProof w:val="0"/>
          <w:rtl/>
        </w:rPr>
        <w:t xml:space="preserve">חוטא נשכר". לעמדת המשיבה, </w:t>
      </w:r>
      <w:r w:rsidR="00E95C65">
        <w:rPr>
          <w:rFonts w:ascii="Arial" w:hAnsi="Arial" w:hint="cs"/>
          <w:noProof w:val="0"/>
          <w:rtl/>
        </w:rPr>
        <w:t xml:space="preserve">אילו היו פועלות המערערות כדין, </w:t>
      </w:r>
      <w:r w:rsidR="00C75DA2">
        <w:rPr>
          <w:rFonts w:ascii="Arial" w:hAnsi="Arial" w:hint="cs"/>
          <w:noProof w:val="0"/>
          <w:rtl/>
        </w:rPr>
        <w:t xml:space="preserve">כלומר </w:t>
      </w:r>
      <w:r w:rsidR="00E95C65">
        <w:rPr>
          <w:rFonts w:ascii="Arial" w:hAnsi="Arial" w:hint="cs"/>
          <w:noProof w:val="0"/>
          <w:rtl/>
        </w:rPr>
        <w:t xml:space="preserve">מגישות בקשה לשימוש חורג במועד, טרם החל השימוש </w:t>
      </w:r>
      <w:r w:rsidR="00C75DA2">
        <w:rPr>
          <w:rFonts w:ascii="Arial" w:hAnsi="Arial" w:hint="cs"/>
          <w:noProof w:val="0"/>
          <w:rtl/>
        </w:rPr>
        <w:t xml:space="preserve">החורג </w:t>
      </w:r>
      <w:r w:rsidR="00E95C65">
        <w:rPr>
          <w:rFonts w:ascii="Arial" w:hAnsi="Arial" w:hint="cs"/>
          <w:noProof w:val="0"/>
          <w:rtl/>
        </w:rPr>
        <w:t xml:space="preserve">בפועל, הרי לאחר אישור בקשה זו היו המערערות מחויבות בהיטל השבחה בגין </w:t>
      </w:r>
      <w:r w:rsidR="00E95C65" w:rsidRPr="00C75DA2">
        <w:rPr>
          <w:rFonts w:ascii="Arial" w:hAnsi="Arial" w:hint="cs"/>
          <w:b/>
          <w:bCs/>
          <w:noProof w:val="0"/>
          <w:rtl/>
        </w:rPr>
        <w:t>כל התקופה</w:t>
      </w:r>
      <w:r w:rsidR="00E95C65">
        <w:rPr>
          <w:rFonts w:ascii="Arial" w:hAnsi="Arial" w:hint="cs"/>
          <w:noProof w:val="0"/>
          <w:rtl/>
        </w:rPr>
        <w:t>.</w:t>
      </w:r>
      <w:r>
        <w:rPr>
          <w:rFonts w:ascii="Arial" w:hAnsi="Arial" w:hint="cs"/>
          <w:noProof w:val="0"/>
          <w:rtl/>
        </w:rPr>
        <w:t xml:space="preserve"> </w:t>
      </w:r>
    </w:p>
    <w:p w:rsidR="00E95C65" w:rsidRDefault="00E95C65" w:rsidP="00CC783F">
      <w:pPr>
        <w:pStyle w:val="ad"/>
        <w:spacing w:after="180" w:line="360" w:lineRule="auto"/>
        <w:ind w:left="510"/>
        <w:contextualSpacing w:val="0"/>
        <w:jc w:val="both"/>
        <w:rPr>
          <w:rFonts w:ascii="Arial" w:hAnsi="Arial"/>
          <w:noProof w:val="0"/>
          <w:rtl/>
        </w:rPr>
      </w:pPr>
      <w:r>
        <w:rPr>
          <w:rFonts w:ascii="Arial" w:hAnsi="Arial" w:hint="cs"/>
          <w:noProof w:val="0"/>
          <w:rtl/>
        </w:rPr>
        <w:t xml:space="preserve">לפיכך, כאשר המערערות </w:t>
      </w:r>
      <w:r w:rsidR="00C75DA2">
        <w:rPr>
          <w:rFonts w:ascii="Arial" w:hAnsi="Arial" w:hint="cs"/>
          <w:noProof w:val="0"/>
          <w:rtl/>
        </w:rPr>
        <w:t xml:space="preserve">(או המחזיקים מטעמן) </w:t>
      </w:r>
      <w:r>
        <w:rPr>
          <w:rFonts w:ascii="Arial" w:hAnsi="Arial" w:hint="cs"/>
          <w:noProof w:val="0"/>
          <w:rtl/>
        </w:rPr>
        <w:t>בחרו לפעול שלא כדין, והחלו את השימוש החורג ללא בקשה לשימוש חורג וללא אישור, הרי לא רק שהתעשרו כתוצאה מהשימוש החורג שביצעו שלא כדין, אלא ש</w:t>
      </w:r>
      <w:r w:rsidR="00C75DA2">
        <w:rPr>
          <w:rFonts w:ascii="Arial" w:hAnsi="Arial" w:hint="cs"/>
          <w:noProof w:val="0"/>
          <w:rtl/>
        </w:rPr>
        <w:t>לאור פרשנות המ</w:t>
      </w:r>
      <w:r w:rsidR="00CC783F">
        <w:rPr>
          <w:rFonts w:ascii="Arial" w:hAnsi="Arial" w:hint="cs"/>
          <w:noProof w:val="0"/>
          <w:rtl/>
        </w:rPr>
        <w:t>ערערות</w:t>
      </w:r>
      <w:r w:rsidR="00C75DA2">
        <w:rPr>
          <w:rFonts w:ascii="Arial" w:hAnsi="Arial" w:hint="cs"/>
          <w:noProof w:val="0"/>
          <w:rtl/>
        </w:rPr>
        <w:t xml:space="preserve"> א</w:t>
      </w:r>
      <w:r w:rsidR="00CC783F">
        <w:rPr>
          <w:rFonts w:ascii="Arial" w:hAnsi="Arial" w:hint="cs"/>
          <w:noProof w:val="0"/>
          <w:rtl/>
        </w:rPr>
        <w:t>ף</w:t>
      </w:r>
      <w:r w:rsidR="00C75DA2">
        <w:rPr>
          <w:rFonts w:ascii="Arial" w:hAnsi="Arial" w:hint="cs"/>
          <w:noProof w:val="0"/>
          <w:rtl/>
        </w:rPr>
        <w:t xml:space="preserve"> </w:t>
      </w:r>
      <w:r>
        <w:rPr>
          <w:rFonts w:ascii="Arial" w:hAnsi="Arial" w:hint="cs"/>
          <w:noProof w:val="0"/>
          <w:rtl/>
        </w:rPr>
        <w:t>לא יחויבו בגי</w:t>
      </w:r>
      <w:r w:rsidR="00C75DA2">
        <w:rPr>
          <w:rFonts w:ascii="Arial" w:hAnsi="Arial" w:hint="cs"/>
          <w:noProof w:val="0"/>
          <w:rtl/>
        </w:rPr>
        <w:t xml:space="preserve">ן </w:t>
      </w:r>
      <w:r w:rsidR="00CC783F">
        <w:rPr>
          <w:rFonts w:ascii="Arial" w:hAnsi="Arial" w:hint="cs"/>
          <w:noProof w:val="0"/>
          <w:rtl/>
        </w:rPr>
        <w:t>התעשרות זו</w:t>
      </w:r>
      <w:r>
        <w:rPr>
          <w:rFonts w:ascii="Arial" w:hAnsi="Arial" w:hint="cs"/>
          <w:noProof w:val="0"/>
          <w:rtl/>
        </w:rPr>
        <w:t xml:space="preserve"> בהיטל השבחה.   </w:t>
      </w:r>
    </w:p>
    <w:p w:rsidR="00E95C65" w:rsidRDefault="00E95C65" w:rsidP="00CC783F">
      <w:pPr>
        <w:pStyle w:val="ad"/>
        <w:spacing w:after="180" w:line="360" w:lineRule="auto"/>
        <w:ind w:left="510"/>
        <w:contextualSpacing w:val="0"/>
        <w:jc w:val="both"/>
        <w:rPr>
          <w:rFonts w:ascii="Arial" w:hAnsi="Arial"/>
          <w:noProof w:val="0"/>
          <w:rtl/>
        </w:rPr>
      </w:pPr>
      <w:r>
        <w:rPr>
          <w:rFonts w:ascii="Arial" w:hAnsi="Arial" w:hint="cs"/>
          <w:noProof w:val="0"/>
          <w:rtl/>
        </w:rPr>
        <w:t>מכאן</w:t>
      </w:r>
      <w:r w:rsidR="00CC783F">
        <w:rPr>
          <w:rFonts w:ascii="Arial" w:hAnsi="Arial" w:hint="cs"/>
          <w:noProof w:val="0"/>
          <w:rtl/>
        </w:rPr>
        <w:t>,</w:t>
      </w:r>
      <w:r>
        <w:rPr>
          <w:rFonts w:ascii="Arial" w:hAnsi="Arial" w:hint="cs"/>
          <w:noProof w:val="0"/>
          <w:rtl/>
        </w:rPr>
        <w:t xml:space="preserve"> לעמדת המשיבה, אי חיוב המערערות בהיטל השבחה לתקופה רטרואקטיבית מוביל לתוצאה של "י</w:t>
      </w:r>
      <w:r w:rsidR="00763296">
        <w:rPr>
          <w:rFonts w:ascii="Arial" w:hAnsi="Arial" w:hint="cs"/>
          <w:noProof w:val="0"/>
          <w:rtl/>
        </w:rPr>
        <w:t>הא</w:t>
      </w:r>
      <w:r>
        <w:rPr>
          <w:rFonts w:ascii="Arial" w:hAnsi="Arial" w:hint="cs"/>
          <w:noProof w:val="0"/>
          <w:rtl/>
        </w:rPr>
        <w:t xml:space="preserve"> חוטא נשכר", להעדפת העבריין על תם הלב, וליצירת תמריץ שלי</w:t>
      </w:r>
      <w:r w:rsidR="00CC783F">
        <w:rPr>
          <w:rFonts w:ascii="Arial" w:hAnsi="Arial" w:hint="cs"/>
          <w:noProof w:val="0"/>
          <w:rtl/>
        </w:rPr>
        <w:t>ל</w:t>
      </w:r>
      <w:r>
        <w:rPr>
          <w:rFonts w:ascii="Arial" w:hAnsi="Arial" w:hint="cs"/>
          <w:noProof w:val="0"/>
          <w:rtl/>
        </w:rPr>
        <w:t>י להפרת דיני התכנון והבניה.</w:t>
      </w:r>
    </w:p>
    <w:p w:rsidR="00E95C65" w:rsidRDefault="009908C0" w:rsidP="00695A5B">
      <w:pPr>
        <w:pStyle w:val="ad"/>
        <w:spacing w:after="180" w:line="360" w:lineRule="auto"/>
        <w:ind w:left="510"/>
        <w:contextualSpacing w:val="0"/>
        <w:jc w:val="both"/>
        <w:rPr>
          <w:rFonts w:ascii="Arial" w:hAnsi="Arial"/>
          <w:noProof w:val="0"/>
        </w:rPr>
      </w:pPr>
      <w:r>
        <w:rPr>
          <w:rFonts w:ascii="Arial" w:hAnsi="Arial" w:hint="cs"/>
          <w:noProof w:val="0"/>
          <w:rtl/>
        </w:rPr>
        <w:t>א</w:t>
      </w:r>
      <w:r w:rsidR="00CC783F">
        <w:rPr>
          <w:rFonts w:ascii="Arial" w:hAnsi="Arial" w:hint="cs"/>
          <w:noProof w:val="0"/>
          <w:rtl/>
        </w:rPr>
        <w:t>יני מקבל טענה זו.</w:t>
      </w:r>
      <w:r w:rsidR="00D446AB">
        <w:rPr>
          <w:rFonts w:ascii="Arial" w:hAnsi="Arial" w:hint="cs"/>
          <w:noProof w:val="0"/>
          <w:rtl/>
        </w:rPr>
        <w:t xml:space="preserve"> לטעמי דווקא </w:t>
      </w:r>
      <w:r w:rsidR="00695A5B">
        <w:rPr>
          <w:rFonts w:ascii="Arial" w:hAnsi="Arial" w:hint="cs"/>
          <w:noProof w:val="0"/>
          <w:rtl/>
        </w:rPr>
        <w:t>ב</w:t>
      </w:r>
      <w:r w:rsidR="00D446AB">
        <w:rPr>
          <w:rFonts w:ascii="Arial" w:hAnsi="Arial" w:hint="cs"/>
          <w:noProof w:val="0"/>
          <w:rtl/>
        </w:rPr>
        <w:t>פעול</w:t>
      </w:r>
      <w:r w:rsidR="00CC783F">
        <w:rPr>
          <w:rFonts w:ascii="Arial" w:hAnsi="Arial" w:hint="cs"/>
          <w:noProof w:val="0"/>
          <w:rtl/>
        </w:rPr>
        <w:t>ו</w:t>
      </w:r>
      <w:r w:rsidR="00D446AB">
        <w:rPr>
          <w:rFonts w:ascii="Arial" w:hAnsi="Arial" w:hint="cs"/>
          <w:noProof w:val="0"/>
          <w:rtl/>
        </w:rPr>
        <w:t xml:space="preserve">ת הוועדה המקומית </w:t>
      </w:r>
      <w:r w:rsidR="00CC783F">
        <w:rPr>
          <w:rFonts w:ascii="Arial" w:hAnsi="Arial" w:hint="cs"/>
          <w:noProof w:val="0"/>
          <w:rtl/>
        </w:rPr>
        <w:t xml:space="preserve">במקרה זה </w:t>
      </w:r>
      <w:r w:rsidR="00D446AB">
        <w:rPr>
          <w:rFonts w:ascii="Arial" w:hAnsi="Arial" w:hint="cs"/>
          <w:noProof w:val="0"/>
          <w:rtl/>
        </w:rPr>
        <w:t>יש משום עידוד עבריינות בניה, ואבאר.</w:t>
      </w:r>
    </w:p>
    <w:p w:rsidR="00CC783F" w:rsidRDefault="00CC783F" w:rsidP="00695A5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ראשית אבהיר, כי </w:t>
      </w:r>
      <w:r w:rsidR="00D446AB">
        <w:rPr>
          <w:rFonts w:ascii="Arial" w:hAnsi="Arial" w:hint="cs"/>
          <w:noProof w:val="0"/>
          <w:rtl/>
        </w:rPr>
        <w:t>אין מחלוקת כי שימ</w:t>
      </w:r>
      <w:r w:rsidR="002852AD">
        <w:rPr>
          <w:rFonts w:ascii="Arial" w:hAnsi="Arial" w:hint="cs"/>
          <w:noProof w:val="0"/>
          <w:rtl/>
        </w:rPr>
        <w:t>ו</w:t>
      </w:r>
      <w:r w:rsidR="00D446AB">
        <w:rPr>
          <w:rFonts w:ascii="Arial" w:hAnsi="Arial" w:hint="cs"/>
          <w:noProof w:val="0"/>
          <w:rtl/>
        </w:rPr>
        <w:t xml:space="preserve">ש במקרקעין לצורכי חניון בניגוד לשימוש המותר בתכנית הינו </w:t>
      </w:r>
      <w:r w:rsidR="00D446AB" w:rsidRPr="00CC783F">
        <w:rPr>
          <w:rFonts w:ascii="Arial" w:hAnsi="Arial" w:hint="cs"/>
          <w:b/>
          <w:bCs/>
          <w:noProof w:val="0"/>
          <w:rtl/>
        </w:rPr>
        <w:t>אסור</w:t>
      </w:r>
      <w:r w:rsidR="00D446AB">
        <w:rPr>
          <w:rFonts w:ascii="Arial" w:hAnsi="Arial" w:hint="cs"/>
          <w:noProof w:val="0"/>
          <w:rtl/>
        </w:rPr>
        <w:t xml:space="preserve">, </w:t>
      </w:r>
      <w:r w:rsidR="00695A5B">
        <w:rPr>
          <w:rFonts w:ascii="Arial" w:hAnsi="Arial" w:hint="cs"/>
          <w:noProof w:val="0"/>
          <w:rtl/>
        </w:rPr>
        <w:t>כך ש</w:t>
      </w:r>
      <w:r w:rsidR="00D446AB">
        <w:rPr>
          <w:rFonts w:ascii="Arial" w:hAnsi="Arial" w:hint="cs"/>
          <w:noProof w:val="0"/>
          <w:rtl/>
        </w:rPr>
        <w:t>אין לעודד שימוש שכזה</w:t>
      </w:r>
      <w:r w:rsidR="00695A5B">
        <w:rPr>
          <w:rFonts w:ascii="Arial" w:hAnsi="Arial" w:hint="cs"/>
          <w:noProof w:val="0"/>
          <w:rtl/>
        </w:rPr>
        <w:t xml:space="preserve"> ללא היתר לשימוש חורג</w:t>
      </w:r>
      <w:r w:rsidR="002852AD">
        <w:rPr>
          <w:rFonts w:ascii="Arial" w:hAnsi="Arial" w:hint="cs"/>
          <w:noProof w:val="0"/>
          <w:rtl/>
        </w:rPr>
        <w:t xml:space="preserve">, </w:t>
      </w:r>
      <w:r>
        <w:rPr>
          <w:rFonts w:ascii="Arial" w:hAnsi="Arial" w:hint="cs"/>
          <w:noProof w:val="0"/>
          <w:rtl/>
        </w:rPr>
        <w:t xml:space="preserve">וכאשר כבר נעשה </w:t>
      </w:r>
      <w:r w:rsidR="00695A5B">
        <w:rPr>
          <w:rFonts w:ascii="Arial" w:hAnsi="Arial" w:hint="cs"/>
          <w:noProof w:val="0"/>
          <w:rtl/>
        </w:rPr>
        <w:t xml:space="preserve">שימוש חורג ללא היתר מתאים, </w:t>
      </w:r>
      <w:r>
        <w:rPr>
          <w:rFonts w:ascii="Arial" w:hAnsi="Arial" w:hint="cs"/>
          <w:noProof w:val="0"/>
          <w:rtl/>
        </w:rPr>
        <w:t>ראוי לגבות בגינו אגרות והיטלים כחוק.</w:t>
      </w:r>
    </w:p>
    <w:p w:rsidR="002852AD" w:rsidRDefault="00695A5B" w:rsidP="002F226B">
      <w:pPr>
        <w:pStyle w:val="ad"/>
        <w:spacing w:after="180" w:line="360" w:lineRule="auto"/>
        <w:ind w:left="510"/>
        <w:contextualSpacing w:val="0"/>
        <w:jc w:val="both"/>
        <w:rPr>
          <w:rFonts w:ascii="Arial" w:hAnsi="Arial"/>
          <w:noProof w:val="0"/>
        </w:rPr>
      </w:pPr>
      <w:r>
        <w:rPr>
          <w:rFonts w:ascii="Arial" w:hAnsi="Arial" w:hint="cs"/>
          <w:noProof w:val="0"/>
          <w:rtl/>
        </w:rPr>
        <w:t xml:space="preserve">מכאן, </w:t>
      </w:r>
      <w:r w:rsidR="002852AD">
        <w:rPr>
          <w:rFonts w:ascii="Arial" w:hAnsi="Arial" w:hint="cs"/>
          <w:noProof w:val="0"/>
          <w:rtl/>
        </w:rPr>
        <w:t>הסוגיה</w:t>
      </w:r>
      <w:r w:rsidR="00CC783F">
        <w:rPr>
          <w:rFonts w:ascii="Arial" w:hAnsi="Arial" w:hint="cs"/>
          <w:noProof w:val="0"/>
          <w:rtl/>
        </w:rPr>
        <w:t xml:space="preserve"> שעומדת לפתחנו</w:t>
      </w:r>
      <w:r w:rsidR="002F226B">
        <w:rPr>
          <w:rFonts w:ascii="Arial" w:hAnsi="Arial" w:hint="cs"/>
          <w:noProof w:val="0"/>
          <w:rtl/>
        </w:rPr>
        <w:t xml:space="preserve"> </w:t>
      </w:r>
      <w:r>
        <w:rPr>
          <w:rFonts w:ascii="Arial" w:hAnsi="Arial" w:hint="cs"/>
          <w:noProof w:val="0"/>
          <w:rtl/>
        </w:rPr>
        <w:t>אינה האם ראוי לגבות אגרות והיטלים במקרה של שימוש חורג ללא היתר, היות והתשובה לכך הינה חיובית, אלא הסוגיה הינה -</w:t>
      </w:r>
      <w:r w:rsidR="00CC783F">
        <w:rPr>
          <w:rFonts w:ascii="Arial" w:hAnsi="Arial" w:hint="cs"/>
          <w:noProof w:val="0"/>
          <w:rtl/>
        </w:rPr>
        <w:t xml:space="preserve"> מה הם ההליכים הראויים לגביית אותם אגרות ו</w:t>
      </w:r>
      <w:r>
        <w:rPr>
          <w:rFonts w:ascii="Arial" w:hAnsi="Arial" w:hint="cs"/>
          <w:noProof w:val="0"/>
          <w:rtl/>
        </w:rPr>
        <w:t>היטלים, לרבות ובפרט היטל ההשבחה.</w:t>
      </w:r>
    </w:p>
    <w:p w:rsidR="00CC783F" w:rsidRDefault="00CC783F" w:rsidP="00695A5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כאמור, </w:t>
      </w:r>
      <w:r w:rsidR="002852AD">
        <w:rPr>
          <w:rFonts w:ascii="Arial" w:hAnsi="Arial" w:hint="cs"/>
          <w:noProof w:val="0"/>
          <w:rtl/>
        </w:rPr>
        <w:t>המערערות</w:t>
      </w:r>
      <w:r w:rsidR="00695A5B">
        <w:rPr>
          <w:rFonts w:ascii="Arial" w:hAnsi="Arial" w:hint="cs"/>
          <w:noProof w:val="0"/>
          <w:rtl/>
        </w:rPr>
        <w:t xml:space="preserve">, או מי מטעמן, </w:t>
      </w:r>
      <w:r w:rsidR="002852AD">
        <w:rPr>
          <w:rFonts w:ascii="Arial" w:hAnsi="Arial" w:hint="cs"/>
          <w:noProof w:val="0"/>
          <w:rtl/>
        </w:rPr>
        <w:t>הגישו בקשה לשימוש חורג</w:t>
      </w:r>
      <w:r>
        <w:rPr>
          <w:rFonts w:ascii="Arial" w:hAnsi="Arial" w:hint="cs"/>
          <w:noProof w:val="0"/>
          <w:rtl/>
        </w:rPr>
        <w:t>,</w:t>
      </w:r>
      <w:r w:rsidR="002852AD">
        <w:rPr>
          <w:rFonts w:ascii="Arial" w:hAnsi="Arial" w:hint="cs"/>
          <w:noProof w:val="0"/>
          <w:rtl/>
        </w:rPr>
        <w:t xml:space="preserve"> לא</w:t>
      </w:r>
      <w:r>
        <w:rPr>
          <w:rFonts w:ascii="Arial" w:hAnsi="Arial" w:hint="cs"/>
          <w:noProof w:val="0"/>
          <w:rtl/>
        </w:rPr>
        <w:t>ח</w:t>
      </w:r>
      <w:r w:rsidR="002852AD">
        <w:rPr>
          <w:rFonts w:ascii="Arial" w:hAnsi="Arial" w:hint="cs"/>
          <w:noProof w:val="0"/>
          <w:rtl/>
        </w:rPr>
        <w:t xml:space="preserve">ר </w:t>
      </w:r>
      <w:r>
        <w:rPr>
          <w:rFonts w:ascii="Arial" w:hAnsi="Arial" w:hint="cs"/>
          <w:noProof w:val="0"/>
          <w:rtl/>
        </w:rPr>
        <w:t xml:space="preserve">שהחלה תקופת </w:t>
      </w:r>
      <w:r w:rsidR="002852AD">
        <w:rPr>
          <w:rFonts w:ascii="Arial" w:hAnsi="Arial" w:hint="cs"/>
          <w:noProof w:val="0"/>
          <w:rtl/>
        </w:rPr>
        <w:t>השימוש האסור וזו הגיעה לפתחה של הוועדה המקומית</w:t>
      </w:r>
      <w:r>
        <w:rPr>
          <w:rFonts w:ascii="Arial" w:hAnsi="Arial" w:hint="cs"/>
          <w:noProof w:val="0"/>
          <w:rtl/>
        </w:rPr>
        <w:t>,</w:t>
      </w:r>
      <w:r w:rsidR="002852AD">
        <w:rPr>
          <w:rFonts w:ascii="Arial" w:hAnsi="Arial" w:hint="cs"/>
          <w:noProof w:val="0"/>
          <w:rtl/>
        </w:rPr>
        <w:t xml:space="preserve"> המשיבה כאן.</w:t>
      </w:r>
    </w:p>
    <w:p w:rsidR="002852AD" w:rsidRDefault="002852AD" w:rsidP="000801AC">
      <w:pPr>
        <w:pStyle w:val="ad"/>
        <w:spacing w:after="180" w:line="360" w:lineRule="auto"/>
        <w:ind w:left="510"/>
        <w:contextualSpacing w:val="0"/>
        <w:jc w:val="both"/>
        <w:rPr>
          <w:rFonts w:ascii="Arial" w:hAnsi="Arial"/>
          <w:noProof w:val="0"/>
        </w:rPr>
      </w:pPr>
      <w:r>
        <w:rPr>
          <w:rFonts w:ascii="Arial" w:hAnsi="Arial" w:hint="cs"/>
          <w:noProof w:val="0"/>
          <w:rtl/>
        </w:rPr>
        <w:t>המשיבה, בהתאם לפרוטוקול הדיון בוועדה המקומית</w:t>
      </w:r>
      <w:r w:rsidR="00CC783F">
        <w:rPr>
          <w:rFonts w:ascii="Arial" w:hAnsi="Arial" w:hint="cs"/>
          <w:noProof w:val="0"/>
          <w:rtl/>
        </w:rPr>
        <w:t xml:space="preserve"> שצורף ל</w:t>
      </w:r>
      <w:r w:rsidR="000801AC">
        <w:rPr>
          <w:rFonts w:ascii="Arial" w:hAnsi="Arial" w:hint="cs"/>
          <w:noProof w:val="0"/>
          <w:rtl/>
        </w:rPr>
        <w:t>כתב התשובה</w:t>
      </w:r>
      <w:r>
        <w:rPr>
          <w:rFonts w:ascii="Arial" w:hAnsi="Arial" w:hint="cs"/>
          <w:noProof w:val="0"/>
          <w:rtl/>
        </w:rPr>
        <w:t xml:space="preserve">, </w:t>
      </w:r>
      <w:r w:rsidRPr="00CC783F">
        <w:rPr>
          <w:rFonts w:ascii="Arial" w:hAnsi="Arial" w:hint="cs"/>
          <w:b/>
          <w:bCs/>
          <w:noProof w:val="0"/>
          <w:rtl/>
        </w:rPr>
        <w:t>ידעה</w:t>
      </w:r>
      <w:r>
        <w:rPr>
          <w:rFonts w:ascii="Arial" w:hAnsi="Arial" w:hint="cs"/>
          <w:noProof w:val="0"/>
          <w:rtl/>
        </w:rPr>
        <w:t xml:space="preserve"> כי השימוש החורג </w:t>
      </w:r>
      <w:r w:rsidR="00CC783F">
        <w:rPr>
          <w:rFonts w:ascii="Arial" w:hAnsi="Arial" w:hint="cs"/>
          <w:noProof w:val="0"/>
          <w:rtl/>
        </w:rPr>
        <w:t xml:space="preserve">שלא כדין </w:t>
      </w:r>
      <w:r>
        <w:rPr>
          <w:rFonts w:ascii="Arial" w:hAnsi="Arial" w:hint="cs"/>
          <w:noProof w:val="0"/>
          <w:rtl/>
        </w:rPr>
        <w:t>החל, לכל הפחות, בשנת 201</w:t>
      </w:r>
      <w:r w:rsidR="000801AC">
        <w:rPr>
          <w:rFonts w:ascii="Arial" w:hAnsi="Arial" w:hint="cs"/>
          <w:noProof w:val="0"/>
          <w:rtl/>
        </w:rPr>
        <w:t>0</w:t>
      </w:r>
      <w:r>
        <w:rPr>
          <w:rFonts w:ascii="Arial" w:hAnsi="Arial" w:hint="cs"/>
          <w:noProof w:val="0"/>
          <w:rtl/>
        </w:rPr>
        <w:t>, מספר שנים טרם נדונה הבקשה לשימוש חורג.</w:t>
      </w:r>
    </w:p>
    <w:p w:rsidR="00802271" w:rsidRDefault="00802271">
      <w:pPr>
        <w:bidi w:val="0"/>
        <w:rPr>
          <w:rFonts w:ascii="Arial" w:hAnsi="Arial"/>
          <w:noProof w:val="0"/>
        </w:rPr>
      </w:pPr>
      <w:r>
        <w:rPr>
          <w:rFonts w:ascii="Arial" w:hAnsi="Arial"/>
          <w:noProof w:val="0"/>
          <w:rtl/>
        </w:rPr>
        <w:br w:type="page"/>
      </w:r>
    </w:p>
    <w:p w:rsidR="000801AC" w:rsidRDefault="000801AC" w:rsidP="000801AC">
      <w:pPr>
        <w:pStyle w:val="ad"/>
        <w:spacing w:after="180" w:line="360" w:lineRule="auto"/>
        <w:ind w:left="510"/>
        <w:contextualSpacing w:val="0"/>
        <w:jc w:val="both"/>
        <w:rPr>
          <w:rFonts w:ascii="Arial" w:hAnsi="Arial"/>
          <w:noProof w:val="0"/>
          <w:rtl/>
        </w:rPr>
      </w:pPr>
      <w:r>
        <w:rPr>
          <w:rFonts w:ascii="Arial" w:hAnsi="Arial" w:hint="cs"/>
          <w:noProof w:val="0"/>
          <w:rtl/>
        </w:rPr>
        <w:lastRenderedPageBreak/>
        <w:t>בנסיבות אלו, ל</w:t>
      </w:r>
      <w:r w:rsidR="002852AD">
        <w:rPr>
          <w:rFonts w:ascii="Arial" w:hAnsi="Arial" w:hint="cs"/>
          <w:noProof w:val="0"/>
          <w:rtl/>
        </w:rPr>
        <w:t>פני</w:t>
      </w:r>
      <w:r>
        <w:rPr>
          <w:rFonts w:ascii="Arial" w:hAnsi="Arial" w:hint="cs"/>
          <w:noProof w:val="0"/>
          <w:rtl/>
        </w:rPr>
        <w:t>י</w:t>
      </w:r>
      <w:r w:rsidR="002852AD">
        <w:rPr>
          <w:rFonts w:ascii="Arial" w:hAnsi="Arial" w:hint="cs"/>
          <w:noProof w:val="0"/>
          <w:rtl/>
        </w:rPr>
        <w:t xml:space="preserve"> הוועדה המקומית עומדים </w:t>
      </w:r>
      <w:r w:rsidR="002852AD" w:rsidRPr="00CC783F">
        <w:rPr>
          <w:rFonts w:ascii="Arial" w:hAnsi="Arial" w:hint="cs"/>
          <w:b/>
          <w:bCs/>
          <w:noProof w:val="0"/>
          <w:rtl/>
        </w:rPr>
        <w:t>מספר</w:t>
      </w:r>
      <w:r w:rsidR="002852AD">
        <w:rPr>
          <w:rFonts w:ascii="Arial" w:hAnsi="Arial" w:hint="cs"/>
          <w:noProof w:val="0"/>
          <w:rtl/>
        </w:rPr>
        <w:t xml:space="preserve"> כלים </w:t>
      </w:r>
      <w:r w:rsidR="00CC783F">
        <w:rPr>
          <w:rFonts w:ascii="Arial" w:hAnsi="Arial" w:hint="cs"/>
          <w:noProof w:val="0"/>
          <w:rtl/>
        </w:rPr>
        <w:t xml:space="preserve">פוטנציאליים </w:t>
      </w:r>
      <w:r w:rsidR="002852AD">
        <w:rPr>
          <w:rFonts w:ascii="Arial" w:hAnsi="Arial" w:hint="cs"/>
          <w:noProof w:val="0"/>
          <w:rtl/>
        </w:rPr>
        <w:t>על מנת להבטיח שלא י</w:t>
      </w:r>
      <w:r w:rsidR="00763296">
        <w:rPr>
          <w:rFonts w:ascii="Arial" w:hAnsi="Arial" w:hint="cs"/>
          <w:noProof w:val="0"/>
          <w:rtl/>
        </w:rPr>
        <w:t>הא</w:t>
      </w:r>
      <w:r w:rsidR="002852AD">
        <w:rPr>
          <w:rFonts w:ascii="Arial" w:hAnsi="Arial" w:hint="cs"/>
          <w:noProof w:val="0"/>
          <w:rtl/>
        </w:rPr>
        <w:t xml:space="preserve"> חוטא נשכר</w:t>
      </w:r>
      <w:r>
        <w:rPr>
          <w:rFonts w:ascii="Arial" w:hAnsi="Arial" w:hint="cs"/>
          <w:noProof w:val="0"/>
          <w:rtl/>
        </w:rPr>
        <w:t>, ומכאן, וזה העיקר לדיון זה, עליה להכריע באיזה כלי לנקוט</w:t>
      </w:r>
      <w:r w:rsidR="002852AD">
        <w:rPr>
          <w:rFonts w:ascii="Arial" w:hAnsi="Arial" w:hint="cs"/>
          <w:noProof w:val="0"/>
          <w:rtl/>
        </w:rPr>
        <w:t>.</w:t>
      </w:r>
    </w:p>
    <w:p w:rsidR="002852AD" w:rsidRDefault="002852AD" w:rsidP="000801AC">
      <w:pPr>
        <w:pStyle w:val="ad"/>
        <w:spacing w:after="180" w:line="360" w:lineRule="auto"/>
        <w:ind w:left="510"/>
        <w:contextualSpacing w:val="0"/>
        <w:jc w:val="both"/>
        <w:rPr>
          <w:rFonts w:ascii="Arial" w:hAnsi="Arial"/>
          <w:noProof w:val="0"/>
        </w:rPr>
      </w:pPr>
      <w:r>
        <w:rPr>
          <w:rFonts w:ascii="Arial" w:hAnsi="Arial" w:hint="cs"/>
          <w:noProof w:val="0"/>
          <w:rtl/>
        </w:rPr>
        <w:t>הכלי ה</w:t>
      </w:r>
      <w:r w:rsidR="00CC783F">
        <w:rPr>
          <w:rFonts w:ascii="Arial" w:hAnsi="Arial" w:hint="cs"/>
          <w:noProof w:val="0"/>
          <w:rtl/>
        </w:rPr>
        <w:t>ראשון</w:t>
      </w:r>
      <w:r>
        <w:rPr>
          <w:rFonts w:ascii="Arial" w:hAnsi="Arial" w:hint="cs"/>
          <w:noProof w:val="0"/>
          <w:rtl/>
        </w:rPr>
        <w:t>, ה</w:t>
      </w:r>
      <w:r w:rsidR="00CC783F">
        <w:rPr>
          <w:rFonts w:ascii="Arial" w:hAnsi="Arial" w:hint="cs"/>
          <w:noProof w:val="0"/>
          <w:rtl/>
        </w:rPr>
        <w:t>ינו</w:t>
      </w:r>
      <w:r>
        <w:rPr>
          <w:rFonts w:ascii="Arial" w:hAnsi="Arial" w:hint="cs"/>
          <w:noProof w:val="0"/>
          <w:rtl/>
        </w:rPr>
        <w:t xml:space="preserve"> הכלי שבחרה המשיבה, לאשר, </w:t>
      </w:r>
      <w:r w:rsidRPr="002852AD">
        <w:rPr>
          <w:rFonts w:ascii="Arial" w:hAnsi="Arial" w:hint="cs"/>
          <w:b/>
          <w:bCs/>
          <w:noProof w:val="0"/>
          <w:rtl/>
        </w:rPr>
        <w:t>מיוזמתה שלה</w:t>
      </w:r>
      <w:r>
        <w:rPr>
          <w:rFonts w:ascii="Arial" w:hAnsi="Arial" w:hint="cs"/>
          <w:noProof w:val="0"/>
          <w:rtl/>
        </w:rPr>
        <w:t xml:space="preserve">, שימוש חורג </w:t>
      </w:r>
      <w:r w:rsidRPr="00CC783F">
        <w:rPr>
          <w:rFonts w:ascii="Arial" w:hAnsi="Arial" w:hint="cs"/>
          <w:b/>
          <w:bCs/>
          <w:noProof w:val="0"/>
          <w:rtl/>
        </w:rPr>
        <w:t>רטרואקטיבי</w:t>
      </w:r>
      <w:r>
        <w:rPr>
          <w:rFonts w:ascii="Arial" w:hAnsi="Arial" w:hint="cs"/>
          <w:noProof w:val="0"/>
          <w:rtl/>
        </w:rPr>
        <w:t xml:space="preserve"> ולנסות לגבות בגינו היטל השבחה.</w:t>
      </w:r>
    </w:p>
    <w:p w:rsidR="002852AD" w:rsidRDefault="002852AD" w:rsidP="00695A5B">
      <w:pPr>
        <w:pStyle w:val="ad"/>
        <w:spacing w:after="180" w:line="360" w:lineRule="auto"/>
        <w:ind w:left="510"/>
        <w:contextualSpacing w:val="0"/>
        <w:jc w:val="both"/>
        <w:rPr>
          <w:rFonts w:ascii="Arial" w:hAnsi="Arial"/>
          <w:noProof w:val="0"/>
          <w:rtl/>
        </w:rPr>
      </w:pPr>
      <w:r>
        <w:rPr>
          <w:rFonts w:ascii="Arial" w:hAnsi="Arial" w:hint="cs"/>
          <w:noProof w:val="0"/>
          <w:rtl/>
        </w:rPr>
        <w:t xml:space="preserve">הכלי השני, הוא </w:t>
      </w:r>
      <w:r w:rsidRPr="00CC783F">
        <w:rPr>
          <w:rFonts w:ascii="Arial" w:hAnsi="Arial" w:hint="cs"/>
          <w:b/>
          <w:bCs/>
          <w:noProof w:val="0"/>
          <w:rtl/>
        </w:rPr>
        <w:t>לא</w:t>
      </w:r>
      <w:r>
        <w:rPr>
          <w:rFonts w:ascii="Arial" w:hAnsi="Arial" w:hint="cs"/>
          <w:noProof w:val="0"/>
          <w:rtl/>
        </w:rPr>
        <w:t xml:space="preserve"> לאשר כלל שימוש חורג</w:t>
      </w:r>
      <w:r w:rsidR="00695A5B">
        <w:rPr>
          <w:rFonts w:ascii="Arial" w:hAnsi="Arial" w:hint="cs"/>
          <w:noProof w:val="0"/>
          <w:rtl/>
        </w:rPr>
        <w:t xml:space="preserve"> </w:t>
      </w:r>
      <w:r>
        <w:rPr>
          <w:rFonts w:ascii="Arial" w:hAnsi="Arial" w:hint="cs"/>
          <w:noProof w:val="0"/>
          <w:rtl/>
        </w:rPr>
        <w:t>היות ומדובר בעבירת בניה</w:t>
      </w:r>
      <w:r w:rsidR="00CC783F">
        <w:rPr>
          <w:rFonts w:ascii="Arial" w:hAnsi="Arial" w:hint="cs"/>
          <w:noProof w:val="0"/>
          <w:rtl/>
        </w:rPr>
        <w:t>,</w:t>
      </w:r>
      <w:r>
        <w:rPr>
          <w:rFonts w:ascii="Arial" w:hAnsi="Arial" w:hint="cs"/>
          <w:noProof w:val="0"/>
          <w:rtl/>
        </w:rPr>
        <w:t xml:space="preserve"> ולפעול באמצעים המוקנים למשיבה בחוק התכנון והבניה כנגד העבריינים להפסקה מידית של השימוש החורג</w:t>
      </w:r>
      <w:r w:rsidR="00CC783F">
        <w:rPr>
          <w:rFonts w:ascii="Arial" w:hAnsi="Arial" w:hint="cs"/>
          <w:noProof w:val="0"/>
          <w:rtl/>
        </w:rPr>
        <w:t xml:space="preserve"> ולגביית מלוא האגרות וההיטלים וכן קנסות מתאימים</w:t>
      </w:r>
      <w:r w:rsidR="00695A5B">
        <w:rPr>
          <w:rFonts w:ascii="Arial" w:hAnsi="Arial" w:hint="cs"/>
          <w:noProof w:val="0"/>
          <w:rtl/>
        </w:rPr>
        <w:t xml:space="preserve"> עבור תקופת העבר</w:t>
      </w:r>
      <w:r w:rsidR="00CC783F">
        <w:rPr>
          <w:rFonts w:ascii="Arial" w:hAnsi="Arial" w:hint="cs"/>
          <w:noProof w:val="0"/>
          <w:rtl/>
        </w:rPr>
        <w:t>.</w:t>
      </w:r>
      <w:r w:rsidR="0099594E">
        <w:rPr>
          <w:rFonts w:ascii="Arial" w:hAnsi="Arial" w:hint="cs"/>
          <w:noProof w:val="0"/>
          <w:rtl/>
        </w:rPr>
        <w:t xml:space="preserve"> </w:t>
      </w:r>
    </w:p>
    <w:p w:rsidR="002852AD" w:rsidRDefault="002852AD" w:rsidP="0099594E">
      <w:pPr>
        <w:pStyle w:val="ad"/>
        <w:spacing w:after="180" w:line="360" w:lineRule="auto"/>
        <w:ind w:left="510"/>
        <w:contextualSpacing w:val="0"/>
        <w:jc w:val="both"/>
        <w:rPr>
          <w:rFonts w:ascii="Arial" w:hAnsi="Arial"/>
          <w:noProof w:val="0"/>
        </w:rPr>
      </w:pPr>
      <w:r>
        <w:rPr>
          <w:rFonts w:ascii="Arial" w:hAnsi="Arial" w:hint="cs"/>
          <w:noProof w:val="0"/>
          <w:rtl/>
        </w:rPr>
        <w:t xml:space="preserve">והכלי השלישי, </w:t>
      </w:r>
      <w:r w:rsidR="0099594E">
        <w:rPr>
          <w:rFonts w:ascii="Arial" w:hAnsi="Arial" w:hint="cs"/>
          <w:noProof w:val="0"/>
          <w:rtl/>
        </w:rPr>
        <w:t xml:space="preserve">אשר דומה לכלי השני, </w:t>
      </w:r>
      <w:r>
        <w:rPr>
          <w:rFonts w:ascii="Arial" w:hAnsi="Arial" w:hint="cs"/>
          <w:noProof w:val="0"/>
          <w:rtl/>
        </w:rPr>
        <w:t xml:space="preserve">הינו לאשר את השימוש </w:t>
      </w:r>
      <w:r w:rsidR="00F772B4">
        <w:rPr>
          <w:rFonts w:ascii="Arial" w:hAnsi="Arial" w:hint="cs"/>
          <w:noProof w:val="0"/>
          <w:rtl/>
        </w:rPr>
        <w:t>החורג מכאן ולהבא, ולפעול</w:t>
      </w:r>
      <w:r w:rsidR="0099594E">
        <w:rPr>
          <w:rFonts w:ascii="Arial" w:hAnsi="Arial" w:hint="cs"/>
          <w:noProof w:val="0"/>
          <w:rtl/>
        </w:rPr>
        <w:t xml:space="preserve"> כנגד העבריינים בגין תקופת העבר לרבות </w:t>
      </w:r>
      <w:r w:rsidR="0099594E" w:rsidRPr="0099594E">
        <w:rPr>
          <w:rFonts w:ascii="Arial" w:hAnsi="Arial"/>
          <w:noProof w:val="0"/>
          <w:rtl/>
        </w:rPr>
        <w:t>גביית מלוא האגרות וההיטלים וכן קנסות מתאימים.</w:t>
      </w:r>
    </w:p>
    <w:p w:rsidR="00B31C38" w:rsidRDefault="00F772B4" w:rsidP="00B31C38">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חשוב להדגיש לעניין הכלים שניתנו לוועדה המקומית</w:t>
      </w:r>
      <w:r w:rsidR="00695A5B">
        <w:rPr>
          <w:rFonts w:ascii="Arial" w:hAnsi="Arial" w:hint="cs"/>
          <w:noProof w:val="0"/>
          <w:rtl/>
        </w:rPr>
        <w:t>,</w:t>
      </w:r>
      <w:r>
        <w:rPr>
          <w:rFonts w:ascii="Arial" w:hAnsi="Arial" w:hint="cs"/>
          <w:noProof w:val="0"/>
          <w:rtl/>
        </w:rPr>
        <w:t xml:space="preserve"> כי חוק התכנון והבניה העניק כלי אכיפה במיוחד למקרים מסוג זה,</w:t>
      </w:r>
      <w:r w:rsidR="00B31C38">
        <w:rPr>
          <w:rFonts w:ascii="Arial" w:hAnsi="Arial" w:hint="cs"/>
          <w:noProof w:val="0"/>
          <w:rtl/>
        </w:rPr>
        <w:t xml:space="preserve"> כלים המאפשרים את גביית האגרות וההיטלים באופן מלא, </w:t>
      </w:r>
      <w:r w:rsidR="00AA51B6">
        <w:rPr>
          <w:rFonts w:ascii="Arial" w:hAnsi="Arial" w:hint="cs"/>
          <w:noProof w:val="0"/>
          <w:rtl/>
        </w:rPr>
        <w:t xml:space="preserve">לגבי תקופת העבר, </w:t>
      </w:r>
      <w:r w:rsidR="00B31C38">
        <w:rPr>
          <w:rFonts w:ascii="Arial" w:hAnsi="Arial" w:hint="cs"/>
          <w:noProof w:val="0"/>
          <w:rtl/>
        </w:rPr>
        <w:t xml:space="preserve">וזאת ללא צורך בהכשרת "השרץ" של עבירת הבניה. </w:t>
      </w:r>
      <w:r>
        <w:rPr>
          <w:rFonts w:ascii="Arial" w:hAnsi="Arial" w:hint="cs"/>
          <w:noProof w:val="0"/>
          <w:rtl/>
        </w:rPr>
        <w:t xml:space="preserve"> </w:t>
      </w:r>
    </w:p>
    <w:p w:rsidR="00B31C38" w:rsidRDefault="00B31C38" w:rsidP="00B31C38">
      <w:pPr>
        <w:pStyle w:val="ad"/>
        <w:spacing w:after="180" w:line="360" w:lineRule="auto"/>
        <w:ind w:left="510"/>
        <w:contextualSpacing w:val="0"/>
        <w:jc w:val="both"/>
        <w:rPr>
          <w:rFonts w:ascii="Arial" w:hAnsi="Arial"/>
          <w:noProof w:val="0"/>
          <w:rtl/>
        </w:rPr>
      </w:pPr>
      <w:r>
        <w:rPr>
          <w:rFonts w:ascii="Arial" w:hAnsi="Arial" w:hint="cs"/>
          <w:noProof w:val="0"/>
          <w:rtl/>
        </w:rPr>
        <w:t xml:space="preserve">כך, </w:t>
      </w:r>
      <w:r w:rsidR="00AA51B6">
        <w:rPr>
          <w:rFonts w:ascii="Arial" w:hAnsi="Arial" w:hint="cs"/>
          <w:noProof w:val="0"/>
          <w:rtl/>
        </w:rPr>
        <w:t xml:space="preserve">למשל, </w:t>
      </w:r>
      <w:r>
        <w:rPr>
          <w:rFonts w:ascii="Arial" w:hAnsi="Arial" w:hint="cs"/>
          <w:noProof w:val="0"/>
          <w:rtl/>
        </w:rPr>
        <w:t xml:space="preserve">סעיף 254י. </w:t>
      </w:r>
      <w:r w:rsidR="00AA51B6">
        <w:rPr>
          <w:rFonts w:ascii="Arial" w:hAnsi="Arial" w:hint="cs"/>
          <w:noProof w:val="0"/>
          <w:rtl/>
        </w:rPr>
        <w:t xml:space="preserve">לחוק התכנון והבניה </w:t>
      </w:r>
      <w:r>
        <w:rPr>
          <w:rFonts w:ascii="Arial" w:hAnsi="Arial" w:hint="cs"/>
          <w:noProof w:val="0"/>
          <w:rtl/>
        </w:rPr>
        <w:t>עוסק באופן מדויק במקרה זהה למקרה שלפניי, וקובע:</w:t>
      </w:r>
    </w:p>
    <w:p w:rsidR="00B31C38" w:rsidRPr="00B31C38" w:rsidRDefault="00B31C38" w:rsidP="00B31C38">
      <w:pPr>
        <w:pStyle w:val="ad"/>
        <w:spacing w:after="180" w:line="360" w:lineRule="auto"/>
        <w:ind w:left="1077" w:right="284"/>
        <w:contextualSpacing w:val="0"/>
        <w:jc w:val="both"/>
        <w:rPr>
          <w:rFonts w:ascii="Arial" w:hAnsi="Arial"/>
          <w:b/>
          <w:bCs/>
          <w:noProof w:val="0"/>
          <w:rtl/>
        </w:rPr>
      </w:pPr>
      <w:r w:rsidRPr="00B31C38">
        <w:rPr>
          <w:rFonts w:ascii="Arial" w:hAnsi="Arial" w:hint="cs"/>
          <w:b/>
          <w:bCs/>
          <w:noProof w:val="0"/>
          <w:rtl/>
        </w:rPr>
        <w:t>"</w:t>
      </w:r>
      <w:r w:rsidRPr="00B31C38">
        <w:rPr>
          <w:rFonts w:ascii="Arial" w:hAnsi="Arial"/>
          <w:b/>
          <w:bCs/>
          <w:noProof w:val="0"/>
          <w:rtl/>
        </w:rPr>
        <w:t>254י.</w:t>
      </w:r>
    </w:p>
    <w:p w:rsidR="00B31C38" w:rsidRPr="00B31C38" w:rsidRDefault="00B31C38" w:rsidP="00B31C38">
      <w:pPr>
        <w:pStyle w:val="ad"/>
        <w:spacing w:after="180" w:line="360" w:lineRule="auto"/>
        <w:ind w:left="1077" w:right="284"/>
        <w:contextualSpacing w:val="0"/>
        <w:jc w:val="both"/>
        <w:rPr>
          <w:rFonts w:ascii="Arial" w:hAnsi="Arial"/>
          <w:b/>
          <w:bCs/>
          <w:noProof w:val="0"/>
          <w:rtl/>
        </w:rPr>
      </w:pPr>
      <w:r w:rsidRPr="00B31C38">
        <w:rPr>
          <w:rFonts w:ascii="Arial" w:hAnsi="Arial"/>
          <w:b/>
          <w:bCs/>
          <w:noProof w:val="0"/>
          <w:rtl/>
        </w:rPr>
        <w:t xml:space="preserve">(א)  בית המשפט רשאי לצוות על מורשע בעבירות לפי סעיפים 243, 244 או 246 לשלם כל אגרה או תשלום חובה אחר, </w:t>
      </w:r>
      <w:r w:rsidRPr="00B31C38">
        <w:rPr>
          <w:rFonts w:ascii="Arial" w:hAnsi="Arial"/>
          <w:b/>
          <w:bCs/>
          <w:noProof w:val="0"/>
          <w:u w:val="single"/>
          <w:rtl/>
        </w:rPr>
        <w:t>לרבות היטל השבחה</w:t>
      </w:r>
      <w:r w:rsidRPr="00B31C38">
        <w:rPr>
          <w:rFonts w:ascii="Arial" w:hAnsi="Arial"/>
          <w:b/>
          <w:bCs/>
          <w:noProof w:val="0"/>
          <w:rtl/>
        </w:rPr>
        <w:t>, שהיה חייב בתשלומם לפי חוק זה אילו היה ניתן היתר לבנייה או לשימוש שבשלהם הורשע, ככל שלא שילם אותם קודם לכן; תשלומי חובה כאמור, למעט אגרות, יחושבו בהתחשב בתקופה שבה לא נהרסה העבודה האסורה או שבה נעשה השימוש האסור.</w:t>
      </w:r>
      <w:r w:rsidRPr="00B31C38">
        <w:rPr>
          <w:rFonts w:ascii="Arial" w:hAnsi="Arial" w:hint="cs"/>
          <w:b/>
          <w:bCs/>
          <w:noProof w:val="0"/>
          <w:rtl/>
        </w:rPr>
        <w:t>"</w:t>
      </w:r>
      <w:r w:rsidR="00C471EC" w:rsidRPr="00C471EC">
        <w:rPr>
          <w:rFonts w:ascii="Arial" w:hAnsi="Arial" w:hint="cs"/>
          <w:noProof w:val="0"/>
          <w:rtl/>
        </w:rPr>
        <w:t xml:space="preserve"> (הדגשה אינה במקור – ג.ה).</w:t>
      </w:r>
      <w:r w:rsidR="00C471EC">
        <w:rPr>
          <w:rFonts w:ascii="Arial" w:hAnsi="Arial" w:hint="cs"/>
          <w:b/>
          <w:bCs/>
          <w:noProof w:val="0"/>
          <w:rtl/>
        </w:rPr>
        <w:t xml:space="preserve"> </w:t>
      </w:r>
    </w:p>
    <w:p w:rsidR="00C471EC" w:rsidRDefault="00C471EC" w:rsidP="00C471EC">
      <w:pPr>
        <w:pStyle w:val="ad"/>
        <w:spacing w:after="180" w:line="360" w:lineRule="auto"/>
        <w:ind w:left="510"/>
        <w:contextualSpacing w:val="0"/>
        <w:jc w:val="both"/>
        <w:rPr>
          <w:rFonts w:ascii="Arial" w:hAnsi="Arial"/>
          <w:noProof w:val="0"/>
        </w:rPr>
      </w:pPr>
      <w:r>
        <w:rPr>
          <w:rFonts w:ascii="Arial" w:hAnsi="Arial" w:hint="cs"/>
          <w:noProof w:val="0"/>
          <w:rtl/>
        </w:rPr>
        <w:t>סעיף 254י. אף קובע פרוצדורה לקביעת היטל ההשבחה, לרבות אפשרות למינוי שמאי מכריע, ר' ס' 254י.(ג).</w:t>
      </w:r>
    </w:p>
    <w:p w:rsidR="00F772B4" w:rsidRDefault="00C471EC" w:rsidP="00AA51B6">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יתרה מזו, מלבד</w:t>
      </w:r>
      <w:r w:rsidR="00AA51B6">
        <w:rPr>
          <w:rFonts w:ascii="Arial" w:hAnsi="Arial" w:hint="cs"/>
          <w:noProof w:val="0"/>
          <w:rtl/>
        </w:rPr>
        <w:t xml:space="preserve"> היכולת לגבות את מלוא </w:t>
      </w:r>
      <w:r>
        <w:rPr>
          <w:rFonts w:ascii="Arial" w:hAnsi="Arial" w:hint="cs"/>
          <w:noProof w:val="0"/>
          <w:rtl/>
        </w:rPr>
        <w:t>תשלום היטל ההשבחה</w:t>
      </w:r>
      <w:r w:rsidR="00AA51B6">
        <w:rPr>
          <w:rFonts w:ascii="Arial" w:hAnsi="Arial" w:hint="cs"/>
          <w:noProof w:val="0"/>
          <w:rtl/>
        </w:rPr>
        <w:t>,</w:t>
      </w:r>
      <w:r>
        <w:rPr>
          <w:rFonts w:ascii="Arial" w:hAnsi="Arial" w:hint="cs"/>
          <w:noProof w:val="0"/>
          <w:rtl/>
        </w:rPr>
        <w:t xml:space="preserve"> מקנה חוק התכנון והבניה לוועדה המקומית </w:t>
      </w:r>
      <w:r w:rsidR="00AA51B6">
        <w:rPr>
          <w:rFonts w:ascii="Arial" w:hAnsi="Arial" w:hint="cs"/>
          <w:noProof w:val="0"/>
          <w:rtl/>
        </w:rPr>
        <w:t xml:space="preserve">אפשרות </w:t>
      </w:r>
      <w:r>
        <w:rPr>
          <w:rFonts w:ascii="Arial" w:hAnsi="Arial" w:hint="cs"/>
          <w:noProof w:val="0"/>
          <w:rtl/>
        </w:rPr>
        <w:t xml:space="preserve">לגבות </w:t>
      </w:r>
      <w:r w:rsidR="00AA51B6">
        <w:rPr>
          <w:rFonts w:ascii="Arial" w:hAnsi="Arial" w:hint="cs"/>
          <w:noProof w:val="0"/>
          <w:rtl/>
        </w:rPr>
        <w:t>בנוסף ק</w:t>
      </w:r>
      <w:r>
        <w:rPr>
          <w:rFonts w:ascii="Arial" w:hAnsi="Arial" w:hint="cs"/>
          <w:noProof w:val="0"/>
          <w:rtl/>
        </w:rPr>
        <w:t xml:space="preserve">נסות בשיעור של </w:t>
      </w:r>
      <w:r w:rsidRPr="00AA51B6">
        <w:rPr>
          <w:rFonts w:ascii="Arial" w:hAnsi="Arial" w:hint="cs"/>
          <w:b/>
          <w:bCs/>
          <w:noProof w:val="0"/>
          <w:rtl/>
        </w:rPr>
        <w:t>כפל</w:t>
      </w:r>
      <w:r>
        <w:rPr>
          <w:rFonts w:ascii="Arial" w:hAnsi="Arial" w:hint="cs"/>
          <w:noProof w:val="0"/>
          <w:rtl/>
        </w:rPr>
        <w:t xml:space="preserve"> ההשבחה הנובעת מין השימוש האס</w:t>
      </w:r>
      <w:r w:rsidR="00A20FC5">
        <w:rPr>
          <w:rFonts w:ascii="Arial" w:hAnsi="Arial" w:hint="cs"/>
          <w:noProof w:val="0"/>
          <w:rtl/>
        </w:rPr>
        <w:t>ו</w:t>
      </w:r>
      <w:r>
        <w:rPr>
          <w:rFonts w:ascii="Arial" w:hAnsi="Arial" w:hint="cs"/>
          <w:noProof w:val="0"/>
          <w:rtl/>
        </w:rPr>
        <w:t xml:space="preserve">ר. ר', </w:t>
      </w:r>
      <w:r w:rsidR="00561CD4">
        <w:rPr>
          <w:rFonts w:ascii="Arial" w:hAnsi="Arial" w:hint="cs"/>
          <w:noProof w:val="0"/>
          <w:rtl/>
        </w:rPr>
        <w:t>סעיף 245(3)</w:t>
      </w:r>
      <w:r w:rsidR="00F772B4">
        <w:rPr>
          <w:rFonts w:ascii="Arial" w:hAnsi="Arial" w:hint="cs"/>
          <w:noProof w:val="0"/>
          <w:rtl/>
        </w:rPr>
        <w:t xml:space="preserve"> </w:t>
      </w:r>
      <w:r w:rsidR="00561CD4">
        <w:rPr>
          <w:rFonts w:ascii="Arial" w:hAnsi="Arial" w:hint="cs"/>
          <w:noProof w:val="0"/>
          <w:rtl/>
        </w:rPr>
        <w:t>ל</w:t>
      </w:r>
      <w:r>
        <w:rPr>
          <w:rFonts w:ascii="Arial" w:hAnsi="Arial" w:hint="cs"/>
          <w:noProof w:val="0"/>
          <w:rtl/>
        </w:rPr>
        <w:t>חוק התכנון והבניה, הקובע:</w:t>
      </w:r>
    </w:p>
    <w:p w:rsidR="00D446AB" w:rsidRPr="00F772B4" w:rsidRDefault="00F772B4" w:rsidP="00B45594">
      <w:pPr>
        <w:pStyle w:val="ad"/>
        <w:spacing w:after="180" w:line="360" w:lineRule="auto"/>
        <w:ind w:left="1077" w:right="284"/>
        <w:contextualSpacing w:val="0"/>
        <w:jc w:val="both"/>
        <w:rPr>
          <w:rFonts w:ascii="Arial" w:hAnsi="Arial"/>
          <w:b/>
          <w:bCs/>
          <w:noProof w:val="0"/>
          <w:rtl/>
        </w:rPr>
      </w:pPr>
      <w:r w:rsidRPr="00F772B4">
        <w:rPr>
          <w:rFonts w:ascii="Arial" w:hAnsi="Arial" w:hint="cs"/>
          <w:b/>
          <w:bCs/>
          <w:noProof w:val="0"/>
          <w:rtl/>
        </w:rPr>
        <w:lastRenderedPageBreak/>
        <w:t>"</w:t>
      </w:r>
      <w:r w:rsidRPr="00F772B4">
        <w:rPr>
          <w:rFonts w:ascii="Arial" w:hAnsi="Arial"/>
          <w:b/>
          <w:bCs/>
          <w:noProof w:val="0"/>
          <w:rtl/>
        </w:rPr>
        <w:t xml:space="preserve">(3)  בעבירה לפי סעיפים 243(ד) </w:t>
      </w:r>
      <w:r w:rsidR="00561CD4" w:rsidRPr="00561CD4">
        <w:rPr>
          <w:rFonts w:ascii="Arial" w:hAnsi="Arial" w:hint="cs"/>
          <w:noProof w:val="0"/>
          <w:rtl/>
        </w:rPr>
        <w:t>(שימוש חורג ללא היתר</w:t>
      </w:r>
      <w:r w:rsidR="00561CD4">
        <w:rPr>
          <w:rFonts w:ascii="Arial" w:hAnsi="Arial" w:hint="cs"/>
          <w:noProof w:val="0"/>
          <w:rtl/>
        </w:rPr>
        <w:t xml:space="preserve"> </w:t>
      </w:r>
      <w:r w:rsidR="00561CD4">
        <w:rPr>
          <w:rFonts w:ascii="Arial" w:hAnsi="Arial"/>
          <w:noProof w:val="0"/>
          <w:rtl/>
        </w:rPr>
        <w:t>–</w:t>
      </w:r>
      <w:r w:rsidR="00561CD4">
        <w:rPr>
          <w:rFonts w:ascii="Arial" w:hAnsi="Arial" w:hint="cs"/>
          <w:noProof w:val="0"/>
          <w:rtl/>
        </w:rPr>
        <w:t xml:space="preserve"> ג.ה.</w:t>
      </w:r>
      <w:r w:rsidR="00561CD4" w:rsidRPr="00561CD4">
        <w:rPr>
          <w:rFonts w:ascii="Arial" w:hAnsi="Arial" w:hint="cs"/>
          <w:noProof w:val="0"/>
          <w:rtl/>
        </w:rPr>
        <w:t>)</w:t>
      </w:r>
      <w:r w:rsidR="00561CD4">
        <w:rPr>
          <w:rFonts w:ascii="Arial" w:hAnsi="Arial" w:hint="cs"/>
          <w:b/>
          <w:bCs/>
          <w:noProof w:val="0"/>
          <w:rtl/>
        </w:rPr>
        <w:t xml:space="preserve"> </w:t>
      </w:r>
      <w:r w:rsidRPr="00F772B4">
        <w:rPr>
          <w:rFonts w:ascii="Arial" w:hAnsi="Arial"/>
          <w:b/>
          <w:bCs/>
          <w:noProof w:val="0"/>
          <w:rtl/>
        </w:rPr>
        <w:t>או (ה), ו-244(ב) – קנס בגובה כפל ההפרש שבין השווי שהיה למקרקעין שבהם נעשה השימוש האסור אילו היה אותו שימוש מותר, לבין שווי אותם מקרקעין לפי התכניות או ההיתרים החלים עליהם.</w:t>
      </w:r>
      <w:r>
        <w:rPr>
          <w:rFonts w:ascii="Arial" w:hAnsi="Arial" w:hint="cs"/>
          <w:b/>
          <w:bCs/>
          <w:noProof w:val="0"/>
          <w:rtl/>
        </w:rPr>
        <w:t>"</w:t>
      </w:r>
    </w:p>
    <w:p w:rsidR="00907729" w:rsidRDefault="00561CD4" w:rsidP="000801AC">
      <w:pPr>
        <w:pStyle w:val="ad"/>
        <w:spacing w:after="180" w:line="360" w:lineRule="auto"/>
        <w:ind w:left="510"/>
        <w:contextualSpacing w:val="0"/>
        <w:jc w:val="both"/>
        <w:rPr>
          <w:rFonts w:ascii="Arial" w:hAnsi="Arial"/>
          <w:noProof w:val="0"/>
          <w:rtl/>
        </w:rPr>
      </w:pPr>
      <w:r>
        <w:rPr>
          <w:rFonts w:ascii="Arial" w:hAnsi="Arial" w:hint="cs"/>
          <w:noProof w:val="0"/>
          <w:rtl/>
        </w:rPr>
        <w:t xml:space="preserve">כלומר, סעיף </w:t>
      </w:r>
      <w:r w:rsidR="00C471EC">
        <w:rPr>
          <w:rFonts w:ascii="Arial" w:hAnsi="Arial" w:hint="cs"/>
          <w:noProof w:val="0"/>
          <w:rtl/>
        </w:rPr>
        <w:t xml:space="preserve">זה </w:t>
      </w:r>
      <w:r>
        <w:rPr>
          <w:rFonts w:ascii="Arial" w:hAnsi="Arial" w:hint="cs"/>
          <w:noProof w:val="0"/>
          <w:rtl/>
        </w:rPr>
        <w:t>מאפשר למשיבה לגבות פי שניים מההשבחה שנבעה מהשימוש החורג</w:t>
      </w:r>
      <w:r w:rsidR="00C471EC">
        <w:rPr>
          <w:rFonts w:ascii="Arial" w:hAnsi="Arial" w:hint="cs"/>
          <w:noProof w:val="0"/>
          <w:rtl/>
        </w:rPr>
        <w:t xml:space="preserve"> האסור</w:t>
      </w:r>
      <w:r>
        <w:rPr>
          <w:rFonts w:ascii="Arial" w:hAnsi="Arial" w:hint="cs"/>
          <w:noProof w:val="0"/>
          <w:rtl/>
        </w:rPr>
        <w:t xml:space="preserve">. כלומר, סעיף </w:t>
      </w:r>
      <w:r w:rsidR="007B0D07">
        <w:rPr>
          <w:rFonts w:ascii="Arial" w:hAnsi="Arial" w:hint="cs"/>
          <w:noProof w:val="0"/>
          <w:rtl/>
        </w:rPr>
        <w:t>245</w:t>
      </w:r>
      <w:r>
        <w:rPr>
          <w:rFonts w:ascii="Arial" w:hAnsi="Arial" w:hint="cs"/>
          <w:noProof w:val="0"/>
          <w:rtl/>
        </w:rPr>
        <w:t xml:space="preserve">(3) </w:t>
      </w:r>
      <w:r w:rsidR="00AA51B6">
        <w:rPr>
          <w:rFonts w:ascii="Arial" w:hAnsi="Arial" w:hint="cs"/>
          <w:noProof w:val="0"/>
          <w:rtl/>
        </w:rPr>
        <w:t xml:space="preserve">לחוק התכנון והבניה </w:t>
      </w:r>
      <w:r>
        <w:rPr>
          <w:rFonts w:ascii="Arial" w:hAnsi="Arial" w:hint="cs"/>
          <w:noProof w:val="0"/>
          <w:rtl/>
        </w:rPr>
        <w:t xml:space="preserve">מאפשר למשיבה לגבות פי 4 מהיטל ההשבחה בגין אותה הפעולה, </w:t>
      </w:r>
      <w:r w:rsidR="000801AC">
        <w:rPr>
          <w:rFonts w:ascii="Arial" w:hAnsi="Arial" w:hint="cs"/>
          <w:noProof w:val="0"/>
          <w:rtl/>
        </w:rPr>
        <w:t>וזאת לאור כך</w:t>
      </w:r>
      <w:r>
        <w:rPr>
          <w:rFonts w:ascii="Arial" w:hAnsi="Arial" w:hint="cs"/>
          <w:noProof w:val="0"/>
          <w:rtl/>
        </w:rPr>
        <w:t xml:space="preserve"> </w:t>
      </w:r>
      <w:r w:rsidR="000801AC">
        <w:rPr>
          <w:rFonts w:ascii="Arial" w:hAnsi="Arial" w:hint="cs"/>
          <w:noProof w:val="0"/>
          <w:rtl/>
        </w:rPr>
        <w:t>ש</w:t>
      </w:r>
      <w:r>
        <w:rPr>
          <w:rFonts w:ascii="Arial" w:hAnsi="Arial" w:hint="cs"/>
          <w:noProof w:val="0"/>
          <w:rtl/>
        </w:rPr>
        <w:t xml:space="preserve">היטל השבחה הינו </w:t>
      </w:r>
      <w:r w:rsidR="00901E72">
        <w:rPr>
          <w:rFonts w:ascii="Arial" w:hAnsi="Arial" w:hint="cs"/>
          <w:noProof w:val="0"/>
          <w:rtl/>
        </w:rPr>
        <w:t xml:space="preserve">רק </w:t>
      </w:r>
      <w:r>
        <w:rPr>
          <w:rFonts w:ascii="Arial" w:hAnsi="Arial" w:hint="cs"/>
          <w:noProof w:val="0"/>
          <w:rtl/>
        </w:rPr>
        <w:t>מחצית מההשבחה</w:t>
      </w:r>
      <w:r w:rsidR="000801AC">
        <w:rPr>
          <w:rFonts w:ascii="Arial" w:hAnsi="Arial" w:hint="cs"/>
          <w:noProof w:val="0"/>
          <w:rtl/>
        </w:rPr>
        <w:t>,</w:t>
      </w:r>
      <w:r>
        <w:rPr>
          <w:rFonts w:ascii="Arial" w:hAnsi="Arial" w:hint="cs"/>
          <w:noProof w:val="0"/>
          <w:rtl/>
        </w:rPr>
        <w:t xml:space="preserve"> והחוק, במקרה של עבריין בניה, מאפשר גבייה של פי שניים מההשבחה</w:t>
      </w:r>
      <w:r w:rsidR="00C471EC">
        <w:rPr>
          <w:rFonts w:ascii="Arial" w:hAnsi="Arial" w:hint="cs"/>
          <w:noProof w:val="0"/>
          <w:rtl/>
        </w:rPr>
        <w:t xml:space="preserve"> עצמה</w:t>
      </w:r>
      <w:r>
        <w:rPr>
          <w:rFonts w:ascii="Arial" w:hAnsi="Arial" w:hint="cs"/>
          <w:noProof w:val="0"/>
          <w:rtl/>
        </w:rPr>
        <w:t>.</w:t>
      </w:r>
    </w:p>
    <w:p w:rsidR="00EE2334" w:rsidRDefault="00561CD4" w:rsidP="00C471EC">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מכאן, </w:t>
      </w:r>
      <w:r w:rsidR="00C471EC">
        <w:rPr>
          <w:rFonts w:ascii="Arial" w:hAnsi="Arial" w:hint="cs"/>
          <w:noProof w:val="0"/>
          <w:rtl/>
        </w:rPr>
        <w:t>נחזור ל</w:t>
      </w:r>
      <w:r>
        <w:rPr>
          <w:rFonts w:ascii="Arial" w:hAnsi="Arial" w:hint="cs"/>
          <w:noProof w:val="0"/>
          <w:rtl/>
        </w:rPr>
        <w:t>שאלה</w:t>
      </w:r>
      <w:r w:rsidR="00C471EC">
        <w:rPr>
          <w:rFonts w:ascii="Arial" w:hAnsi="Arial" w:hint="cs"/>
          <w:noProof w:val="0"/>
          <w:rtl/>
        </w:rPr>
        <w:t xml:space="preserve"> המרכזית בערעור זה</w:t>
      </w:r>
      <w:r>
        <w:rPr>
          <w:rFonts w:ascii="Arial" w:hAnsi="Arial" w:hint="cs"/>
          <w:noProof w:val="0"/>
          <w:rtl/>
        </w:rPr>
        <w:t xml:space="preserve">, מה </w:t>
      </w:r>
      <w:r w:rsidR="00C471EC">
        <w:rPr>
          <w:rFonts w:ascii="Arial" w:hAnsi="Arial" w:hint="cs"/>
          <w:noProof w:val="0"/>
          <w:rtl/>
        </w:rPr>
        <w:t xml:space="preserve">היא </w:t>
      </w:r>
      <w:r>
        <w:rPr>
          <w:rFonts w:ascii="Arial" w:hAnsi="Arial" w:hint="cs"/>
          <w:noProof w:val="0"/>
          <w:rtl/>
        </w:rPr>
        <w:t xml:space="preserve">הדרך היעילה ליצירת תמריץ </w:t>
      </w:r>
      <w:r w:rsidR="00C471EC">
        <w:rPr>
          <w:rFonts w:ascii="Arial" w:hAnsi="Arial" w:hint="cs"/>
          <w:noProof w:val="0"/>
          <w:rtl/>
        </w:rPr>
        <w:t xml:space="preserve">שלא </w:t>
      </w:r>
      <w:r>
        <w:rPr>
          <w:rFonts w:ascii="Arial" w:hAnsi="Arial" w:hint="cs"/>
          <w:noProof w:val="0"/>
          <w:rtl/>
        </w:rPr>
        <w:t>לעבור על חוקי התכנון והבניה ולהבטיח כי "לא י</w:t>
      </w:r>
      <w:r w:rsidR="007B0D07">
        <w:rPr>
          <w:rFonts w:ascii="Arial" w:hAnsi="Arial" w:hint="cs"/>
          <w:noProof w:val="0"/>
          <w:rtl/>
        </w:rPr>
        <w:t>הא</w:t>
      </w:r>
      <w:r>
        <w:rPr>
          <w:rFonts w:ascii="Arial" w:hAnsi="Arial" w:hint="cs"/>
          <w:noProof w:val="0"/>
          <w:rtl/>
        </w:rPr>
        <w:t xml:space="preserve"> חוטא נשכר"</w:t>
      </w:r>
      <w:r w:rsidR="00C471EC">
        <w:rPr>
          <w:rFonts w:ascii="Arial" w:hAnsi="Arial" w:hint="cs"/>
          <w:noProof w:val="0"/>
          <w:rtl/>
        </w:rPr>
        <w:t>.</w:t>
      </w:r>
      <w:r>
        <w:rPr>
          <w:rFonts w:ascii="Arial" w:hAnsi="Arial" w:hint="cs"/>
          <w:noProof w:val="0"/>
          <w:rtl/>
        </w:rPr>
        <w:t xml:space="preserve"> התשובה </w:t>
      </w:r>
      <w:r w:rsidR="00C471EC">
        <w:rPr>
          <w:rFonts w:ascii="Arial" w:hAnsi="Arial" w:hint="cs"/>
          <w:noProof w:val="0"/>
          <w:rtl/>
        </w:rPr>
        <w:t xml:space="preserve">לשאלה זו </w:t>
      </w:r>
      <w:r>
        <w:rPr>
          <w:rFonts w:ascii="Arial" w:hAnsi="Arial" w:hint="cs"/>
          <w:noProof w:val="0"/>
          <w:rtl/>
        </w:rPr>
        <w:t>ברורה וחד משמעית, הדרך שנ</w:t>
      </w:r>
      <w:r w:rsidR="00EE2334">
        <w:rPr>
          <w:rFonts w:ascii="Arial" w:hAnsi="Arial" w:hint="cs"/>
          <w:noProof w:val="0"/>
          <w:rtl/>
        </w:rPr>
        <w:t>קטה הוועדה המקומית,</w:t>
      </w:r>
      <w:r w:rsidR="00C471EC">
        <w:rPr>
          <w:rFonts w:ascii="Arial" w:hAnsi="Arial" w:hint="cs"/>
          <w:noProof w:val="0"/>
          <w:rtl/>
        </w:rPr>
        <w:t xml:space="preserve"> ואשר אותה אישרה ועדת הערר בהחלטתה,</w:t>
      </w:r>
      <w:r w:rsidR="00EE2334">
        <w:rPr>
          <w:rFonts w:ascii="Arial" w:hAnsi="Arial" w:hint="cs"/>
          <w:noProof w:val="0"/>
          <w:rtl/>
        </w:rPr>
        <w:t xml:space="preserve"> היא הדרך הגרועה</w:t>
      </w:r>
      <w:r w:rsidR="00C471EC">
        <w:rPr>
          <w:rFonts w:ascii="Arial" w:hAnsi="Arial" w:hint="cs"/>
          <w:noProof w:val="0"/>
          <w:rtl/>
        </w:rPr>
        <w:t xml:space="preserve"> בין הדרכים לעיל</w:t>
      </w:r>
      <w:r w:rsidR="00EE2334">
        <w:rPr>
          <w:rFonts w:ascii="Arial" w:hAnsi="Arial" w:hint="cs"/>
          <w:noProof w:val="0"/>
          <w:rtl/>
        </w:rPr>
        <w:t xml:space="preserve">, </w:t>
      </w:r>
      <w:r w:rsidR="00C471EC">
        <w:rPr>
          <w:rFonts w:ascii="Arial" w:hAnsi="Arial" w:hint="cs"/>
          <w:noProof w:val="0"/>
          <w:rtl/>
        </w:rPr>
        <w:t xml:space="preserve">דרך </w:t>
      </w:r>
      <w:r w:rsidR="00EE2334">
        <w:rPr>
          <w:rFonts w:ascii="Arial" w:hAnsi="Arial" w:hint="cs"/>
          <w:noProof w:val="0"/>
          <w:rtl/>
        </w:rPr>
        <w:t>שלא רק שאין בה להרתיע עברייני בניה, אלא יש בה לעודד עבריינות, ואסביר.</w:t>
      </w:r>
    </w:p>
    <w:p w:rsidR="004E4373" w:rsidRDefault="00EE2334" w:rsidP="002E667E">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נניח שיש בעל מקרקעין בעיר תל אביב אשר מתלבט </w:t>
      </w:r>
      <w:r w:rsidR="004E4373">
        <w:rPr>
          <w:rFonts w:ascii="Arial" w:hAnsi="Arial" w:hint="cs"/>
          <w:noProof w:val="0"/>
          <w:rtl/>
        </w:rPr>
        <w:t>(מבחינה כלכלית)</w:t>
      </w:r>
      <w:r w:rsidR="00C471EC">
        <w:rPr>
          <w:rFonts w:ascii="Arial" w:hAnsi="Arial" w:hint="cs"/>
          <w:noProof w:val="0"/>
          <w:rtl/>
        </w:rPr>
        <w:t>,</w:t>
      </w:r>
      <w:r w:rsidR="004E4373">
        <w:rPr>
          <w:rFonts w:ascii="Arial" w:hAnsi="Arial" w:hint="cs"/>
          <w:noProof w:val="0"/>
          <w:rtl/>
        </w:rPr>
        <w:t xml:space="preserve"> </w:t>
      </w:r>
      <w:r>
        <w:rPr>
          <w:rFonts w:ascii="Arial" w:hAnsi="Arial" w:hint="cs"/>
          <w:noProof w:val="0"/>
          <w:rtl/>
        </w:rPr>
        <w:t>האם לבקש שימ</w:t>
      </w:r>
      <w:r w:rsidR="004E4373">
        <w:rPr>
          <w:rFonts w:ascii="Arial" w:hAnsi="Arial" w:hint="cs"/>
          <w:noProof w:val="0"/>
          <w:rtl/>
        </w:rPr>
        <w:t>ו</w:t>
      </w:r>
      <w:r>
        <w:rPr>
          <w:rFonts w:ascii="Arial" w:hAnsi="Arial" w:hint="cs"/>
          <w:noProof w:val="0"/>
          <w:rtl/>
        </w:rPr>
        <w:t>ש חורג</w:t>
      </w:r>
      <w:r w:rsidR="004E4373">
        <w:rPr>
          <w:rFonts w:ascii="Arial" w:hAnsi="Arial" w:hint="cs"/>
          <w:noProof w:val="0"/>
          <w:rtl/>
        </w:rPr>
        <w:t xml:space="preserve"> לחניון או ל</w:t>
      </w:r>
      <w:r w:rsidR="002E667E">
        <w:rPr>
          <w:rFonts w:ascii="Arial" w:hAnsi="Arial" w:hint="cs"/>
          <w:noProof w:val="0"/>
          <w:rtl/>
        </w:rPr>
        <w:t>בצע</w:t>
      </w:r>
      <w:r w:rsidR="004E4373">
        <w:rPr>
          <w:rFonts w:ascii="Arial" w:hAnsi="Arial" w:hint="cs"/>
          <w:noProof w:val="0"/>
          <w:rtl/>
        </w:rPr>
        <w:t xml:space="preserve"> את השימוש </w:t>
      </w:r>
      <w:r w:rsidR="00C471EC">
        <w:rPr>
          <w:rFonts w:ascii="Arial" w:hAnsi="Arial" w:hint="cs"/>
          <w:noProof w:val="0"/>
          <w:rtl/>
        </w:rPr>
        <w:t xml:space="preserve">החורג </w:t>
      </w:r>
      <w:r w:rsidR="004E4373">
        <w:rPr>
          <w:rFonts w:ascii="Arial" w:hAnsi="Arial" w:hint="cs"/>
          <w:noProof w:val="0"/>
          <w:rtl/>
        </w:rPr>
        <w:t xml:space="preserve">ללא </w:t>
      </w:r>
      <w:r w:rsidR="00C471EC">
        <w:rPr>
          <w:rFonts w:ascii="Arial" w:hAnsi="Arial" w:hint="cs"/>
          <w:noProof w:val="0"/>
          <w:rtl/>
        </w:rPr>
        <w:t xml:space="preserve">כל </w:t>
      </w:r>
      <w:r w:rsidR="004E4373">
        <w:rPr>
          <w:rFonts w:ascii="Arial" w:hAnsi="Arial" w:hint="cs"/>
          <w:noProof w:val="0"/>
          <w:rtl/>
        </w:rPr>
        <w:t xml:space="preserve">היתר. </w:t>
      </w:r>
      <w:r w:rsidR="00C471EC">
        <w:rPr>
          <w:rFonts w:ascii="Arial" w:hAnsi="Arial" w:hint="cs"/>
          <w:noProof w:val="0"/>
          <w:rtl/>
        </w:rPr>
        <w:t>בעל קרקע זה</w:t>
      </w:r>
      <w:r w:rsidR="004E4373">
        <w:rPr>
          <w:rFonts w:ascii="Arial" w:hAnsi="Arial" w:hint="cs"/>
          <w:noProof w:val="0"/>
          <w:rtl/>
        </w:rPr>
        <w:t xml:space="preserve"> מתבונן בהחלטת הוועדה המקומית בתיק זה, והתשובה להתלבט</w:t>
      </w:r>
      <w:r w:rsidR="00C471EC">
        <w:rPr>
          <w:rFonts w:ascii="Arial" w:hAnsi="Arial" w:hint="cs"/>
          <w:noProof w:val="0"/>
          <w:rtl/>
        </w:rPr>
        <w:t>ו</w:t>
      </w:r>
      <w:r w:rsidR="004E4373">
        <w:rPr>
          <w:rFonts w:ascii="Arial" w:hAnsi="Arial" w:hint="cs"/>
          <w:noProof w:val="0"/>
          <w:rtl/>
        </w:rPr>
        <w:t>ת</w:t>
      </w:r>
      <w:r w:rsidR="00C471EC">
        <w:rPr>
          <w:rFonts w:ascii="Arial" w:hAnsi="Arial" w:hint="cs"/>
          <w:noProof w:val="0"/>
          <w:rtl/>
        </w:rPr>
        <w:t>ו</w:t>
      </w:r>
      <w:r w:rsidR="004E4373">
        <w:rPr>
          <w:rFonts w:ascii="Arial" w:hAnsi="Arial" w:hint="cs"/>
          <w:noProof w:val="0"/>
          <w:rtl/>
        </w:rPr>
        <w:t xml:space="preserve"> פשוטה</w:t>
      </w:r>
      <w:r w:rsidR="00C471EC">
        <w:rPr>
          <w:rFonts w:ascii="Arial" w:hAnsi="Arial" w:hint="cs"/>
          <w:noProof w:val="0"/>
          <w:rtl/>
        </w:rPr>
        <w:t>, אין טעם לבקש היתר לשימוש חורג, וא</w:t>
      </w:r>
      <w:r w:rsidR="00176DB5">
        <w:rPr>
          <w:rFonts w:ascii="Arial" w:hAnsi="Arial" w:hint="cs"/>
          <w:noProof w:val="0"/>
          <w:rtl/>
        </w:rPr>
        <w:t>נמק</w:t>
      </w:r>
      <w:r w:rsidR="00C471EC">
        <w:rPr>
          <w:rFonts w:ascii="Arial" w:hAnsi="Arial" w:hint="cs"/>
          <w:noProof w:val="0"/>
          <w:rtl/>
        </w:rPr>
        <w:t>:</w:t>
      </w:r>
    </w:p>
    <w:p w:rsidR="0082653C" w:rsidRDefault="0082653C" w:rsidP="0082653C">
      <w:pPr>
        <w:pStyle w:val="ad"/>
        <w:spacing w:after="180" w:line="360" w:lineRule="auto"/>
        <w:ind w:left="510"/>
        <w:contextualSpacing w:val="0"/>
        <w:jc w:val="both"/>
        <w:rPr>
          <w:rFonts w:ascii="Arial" w:hAnsi="Arial"/>
          <w:noProof w:val="0"/>
          <w:rtl/>
        </w:rPr>
      </w:pPr>
      <w:r>
        <w:rPr>
          <w:rFonts w:ascii="Arial" w:hAnsi="Arial" w:hint="cs"/>
          <w:b/>
          <w:bCs/>
          <w:noProof w:val="0"/>
          <w:rtl/>
        </w:rPr>
        <w:t xml:space="preserve">אפשרות א' - הבעלים </w:t>
      </w:r>
      <w:r w:rsidR="004E4373" w:rsidRPr="002E667E">
        <w:rPr>
          <w:rFonts w:ascii="Arial" w:hAnsi="Arial" w:hint="cs"/>
          <w:b/>
          <w:bCs/>
          <w:noProof w:val="0"/>
          <w:u w:val="double"/>
          <w:rtl/>
        </w:rPr>
        <w:t>לא</w:t>
      </w:r>
      <w:r w:rsidR="004E4373" w:rsidRPr="004E4373">
        <w:rPr>
          <w:rFonts w:ascii="Arial" w:hAnsi="Arial" w:hint="cs"/>
          <w:b/>
          <w:bCs/>
          <w:noProof w:val="0"/>
          <w:rtl/>
        </w:rPr>
        <w:t xml:space="preserve"> יבקש היתר</w:t>
      </w:r>
      <w:r>
        <w:rPr>
          <w:rFonts w:ascii="Arial" w:hAnsi="Arial" w:hint="cs"/>
          <w:noProof w:val="0"/>
          <w:rtl/>
        </w:rPr>
        <w:t>:</w:t>
      </w:r>
    </w:p>
    <w:p w:rsidR="004E4373" w:rsidRDefault="0082653C" w:rsidP="00F253FA">
      <w:pPr>
        <w:pStyle w:val="ad"/>
        <w:spacing w:after="180" w:line="360" w:lineRule="auto"/>
        <w:ind w:left="510"/>
        <w:contextualSpacing w:val="0"/>
        <w:jc w:val="both"/>
        <w:rPr>
          <w:rFonts w:ascii="Arial" w:hAnsi="Arial"/>
          <w:noProof w:val="0"/>
          <w:rtl/>
        </w:rPr>
      </w:pPr>
      <w:r>
        <w:rPr>
          <w:rFonts w:ascii="Arial" w:hAnsi="Arial" w:hint="cs"/>
          <w:noProof w:val="0"/>
          <w:rtl/>
        </w:rPr>
        <w:t xml:space="preserve">במקרה זה </w:t>
      </w:r>
      <w:r w:rsidR="00F253FA">
        <w:rPr>
          <w:rFonts w:ascii="Arial" w:hAnsi="Arial" w:hint="cs"/>
          <w:noProof w:val="0"/>
          <w:rtl/>
        </w:rPr>
        <w:t xml:space="preserve">קיימות שתי אפשרויות. הראשונה, </w:t>
      </w:r>
      <w:r w:rsidR="004E4373">
        <w:rPr>
          <w:rFonts w:ascii="Arial" w:hAnsi="Arial" w:hint="cs"/>
          <w:noProof w:val="0"/>
          <w:rtl/>
        </w:rPr>
        <w:t xml:space="preserve">היה והוועדה המקומית לא תגלה </w:t>
      </w:r>
      <w:r w:rsidR="00992FCA">
        <w:rPr>
          <w:rFonts w:ascii="Arial" w:hAnsi="Arial" w:hint="cs"/>
          <w:noProof w:val="0"/>
          <w:rtl/>
        </w:rPr>
        <w:t xml:space="preserve">את </w:t>
      </w:r>
      <w:r w:rsidR="004E4373">
        <w:rPr>
          <w:rFonts w:ascii="Arial" w:hAnsi="Arial" w:hint="cs"/>
          <w:noProof w:val="0"/>
          <w:rtl/>
        </w:rPr>
        <w:t xml:space="preserve">דבר השימוש החורג, הרי </w:t>
      </w:r>
      <w:r w:rsidR="00992FCA">
        <w:rPr>
          <w:rFonts w:ascii="Arial" w:hAnsi="Arial" w:hint="cs"/>
          <w:noProof w:val="0"/>
          <w:rtl/>
        </w:rPr>
        <w:t>ש</w:t>
      </w:r>
      <w:r w:rsidR="004E4373">
        <w:rPr>
          <w:rFonts w:ascii="Arial" w:hAnsi="Arial" w:hint="cs"/>
          <w:noProof w:val="0"/>
          <w:rtl/>
        </w:rPr>
        <w:t xml:space="preserve">בוודאי </w:t>
      </w:r>
      <w:r w:rsidR="00F253FA">
        <w:rPr>
          <w:rFonts w:ascii="Arial" w:hAnsi="Arial" w:hint="cs"/>
          <w:noProof w:val="0"/>
          <w:rtl/>
        </w:rPr>
        <w:t xml:space="preserve">כי במקרה </w:t>
      </w:r>
      <w:r w:rsidR="002E667E">
        <w:rPr>
          <w:rFonts w:ascii="Arial" w:hAnsi="Arial" w:hint="cs"/>
          <w:noProof w:val="0"/>
          <w:rtl/>
        </w:rPr>
        <w:t xml:space="preserve">זה </w:t>
      </w:r>
      <w:r w:rsidR="004E4373">
        <w:rPr>
          <w:rFonts w:ascii="Arial" w:hAnsi="Arial" w:hint="cs"/>
          <w:noProof w:val="0"/>
          <w:rtl/>
        </w:rPr>
        <w:t xml:space="preserve">יצא </w:t>
      </w:r>
      <w:r w:rsidR="00F253FA">
        <w:rPr>
          <w:rFonts w:ascii="Arial" w:hAnsi="Arial" w:hint="cs"/>
          <w:noProof w:val="0"/>
          <w:rtl/>
        </w:rPr>
        <w:t xml:space="preserve">הבעלים </w:t>
      </w:r>
      <w:r w:rsidR="004E4373">
        <w:rPr>
          <w:rFonts w:ascii="Arial" w:hAnsi="Arial" w:hint="cs"/>
          <w:noProof w:val="0"/>
          <w:rtl/>
        </w:rPr>
        <w:t xml:space="preserve">נשכר, היות וגם לא הוציא הוצאות להנפקת </w:t>
      </w:r>
      <w:r w:rsidR="00176DB5">
        <w:rPr>
          <w:rFonts w:ascii="Arial" w:hAnsi="Arial" w:hint="cs"/>
          <w:noProof w:val="0"/>
          <w:rtl/>
        </w:rPr>
        <w:t>ההיתר ל</w:t>
      </w:r>
      <w:r w:rsidR="004E4373">
        <w:rPr>
          <w:rFonts w:ascii="Arial" w:hAnsi="Arial" w:hint="cs"/>
          <w:noProof w:val="0"/>
          <w:rtl/>
        </w:rPr>
        <w:t>שימוש חורג, גם לא שילם אגרות בניה וכמובן נמנע ממנו תשלום היטל השבחה כלשהו.</w:t>
      </w:r>
    </w:p>
    <w:p w:rsidR="004E4373" w:rsidRDefault="00F253FA" w:rsidP="00F253FA">
      <w:pPr>
        <w:pStyle w:val="ad"/>
        <w:spacing w:after="180" w:line="360" w:lineRule="auto"/>
        <w:ind w:left="510"/>
        <w:contextualSpacing w:val="0"/>
        <w:jc w:val="both"/>
        <w:rPr>
          <w:rFonts w:ascii="Arial" w:hAnsi="Arial"/>
          <w:noProof w:val="0"/>
          <w:rtl/>
        </w:rPr>
      </w:pPr>
      <w:r>
        <w:rPr>
          <w:rFonts w:ascii="Arial" w:hAnsi="Arial" w:hint="cs"/>
          <w:noProof w:val="0"/>
          <w:rtl/>
        </w:rPr>
        <w:t xml:space="preserve">השנייה, </w:t>
      </w:r>
      <w:r w:rsidR="004E4373">
        <w:rPr>
          <w:rFonts w:ascii="Arial" w:hAnsi="Arial" w:hint="cs"/>
          <w:noProof w:val="0"/>
          <w:rtl/>
        </w:rPr>
        <w:t xml:space="preserve">היה והוועדה המקומית </w:t>
      </w:r>
      <w:r w:rsidR="00992FCA">
        <w:rPr>
          <w:rFonts w:ascii="Arial" w:hAnsi="Arial" w:hint="cs"/>
          <w:noProof w:val="0"/>
          <w:rtl/>
        </w:rPr>
        <w:t xml:space="preserve">תגלה את השימוש החורג ואת </w:t>
      </w:r>
      <w:r w:rsidR="004E4373">
        <w:rPr>
          <w:rFonts w:ascii="Arial" w:hAnsi="Arial" w:hint="cs"/>
          <w:noProof w:val="0"/>
          <w:rtl/>
        </w:rPr>
        <w:t>עבירת הבניה, אז במקרה שכזה, תוכשר</w:t>
      </w:r>
      <w:r>
        <w:rPr>
          <w:rFonts w:ascii="Arial" w:hAnsi="Arial" w:hint="cs"/>
          <w:noProof w:val="0"/>
          <w:rtl/>
        </w:rPr>
        <w:t xml:space="preserve"> על ידי הוועדה המקומית </w:t>
      </w:r>
      <w:r w:rsidR="004E4373">
        <w:rPr>
          <w:rFonts w:ascii="Arial" w:hAnsi="Arial" w:hint="cs"/>
          <w:noProof w:val="0"/>
          <w:rtl/>
        </w:rPr>
        <w:t>עבירת הבניה בדיעבד, והוא יאלץ לשלם היטל השבחה לכל התקופה.</w:t>
      </w:r>
    </w:p>
    <w:p w:rsidR="00C039B5" w:rsidRDefault="004E4373" w:rsidP="00992FCA">
      <w:pPr>
        <w:pStyle w:val="ad"/>
        <w:spacing w:after="180" w:line="360" w:lineRule="auto"/>
        <w:ind w:left="510"/>
        <w:contextualSpacing w:val="0"/>
        <w:jc w:val="both"/>
        <w:rPr>
          <w:rFonts w:ascii="Arial" w:hAnsi="Arial"/>
          <w:noProof w:val="0"/>
          <w:rtl/>
        </w:rPr>
      </w:pPr>
      <w:r>
        <w:rPr>
          <w:rFonts w:ascii="Arial" w:hAnsi="Arial" w:hint="cs"/>
          <w:noProof w:val="0"/>
          <w:rtl/>
        </w:rPr>
        <w:t xml:space="preserve">כלומר, </w:t>
      </w:r>
      <w:r w:rsidR="00992FCA">
        <w:rPr>
          <w:rFonts w:ascii="Arial" w:hAnsi="Arial" w:hint="cs"/>
          <w:noProof w:val="0"/>
          <w:rtl/>
        </w:rPr>
        <w:t xml:space="preserve">היה והבעלים לא יבקש היתר, </w:t>
      </w:r>
      <w:r>
        <w:rPr>
          <w:rFonts w:ascii="Arial" w:hAnsi="Arial" w:hint="cs"/>
          <w:noProof w:val="0"/>
          <w:rtl/>
        </w:rPr>
        <w:t xml:space="preserve">במקרה </w:t>
      </w:r>
      <w:r w:rsidR="00992FCA">
        <w:rPr>
          <w:rFonts w:ascii="Arial" w:hAnsi="Arial" w:hint="cs"/>
          <w:noProof w:val="0"/>
          <w:rtl/>
        </w:rPr>
        <w:t xml:space="preserve">הכי </w:t>
      </w:r>
      <w:r>
        <w:rPr>
          <w:rFonts w:ascii="Arial" w:hAnsi="Arial" w:hint="cs"/>
          <w:noProof w:val="0"/>
          <w:rtl/>
        </w:rPr>
        <w:t>גרוע מבחינתו, ייאלץ לשלם היטל השבחה כדין, ובמקרה הטוב מבחינתו, לא ישלם דבר.</w:t>
      </w:r>
    </w:p>
    <w:p w:rsidR="00C039B5" w:rsidRDefault="00C039B5">
      <w:pPr>
        <w:bidi w:val="0"/>
        <w:rPr>
          <w:rFonts w:ascii="Arial" w:hAnsi="Arial"/>
          <w:noProof w:val="0"/>
          <w:rtl/>
        </w:rPr>
      </w:pPr>
      <w:r>
        <w:rPr>
          <w:rFonts w:ascii="Arial" w:hAnsi="Arial"/>
          <w:noProof w:val="0"/>
          <w:rtl/>
        </w:rPr>
        <w:br w:type="page"/>
      </w:r>
    </w:p>
    <w:p w:rsidR="0082653C" w:rsidRDefault="0082653C" w:rsidP="0082653C">
      <w:pPr>
        <w:pStyle w:val="ad"/>
        <w:spacing w:after="180" w:line="360" w:lineRule="auto"/>
        <w:ind w:left="510"/>
        <w:contextualSpacing w:val="0"/>
        <w:jc w:val="both"/>
        <w:rPr>
          <w:rFonts w:ascii="Arial" w:hAnsi="Arial"/>
          <w:b/>
          <w:bCs/>
          <w:noProof w:val="0"/>
          <w:rtl/>
        </w:rPr>
      </w:pPr>
      <w:r>
        <w:rPr>
          <w:rFonts w:ascii="Arial" w:hAnsi="Arial" w:hint="cs"/>
          <w:b/>
          <w:bCs/>
          <w:noProof w:val="0"/>
          <w:rtl/>
        </w:rPr>
        <w:lastRenderedPageBreak/>
        <w:t xml:space="preserve">אפשרות ב' - הבעלים </w:t>
      </w:r>
      <w:r w:rsidR="004E4373" w:rsidRPr="004E4373">
        <w:rPr>
          <w:rFonts w:ascii="Arial" w:hAnsi="Arial" w:hint="cs"/>
          <w:b/>
          <w:bCs/>
          <w:noProof w:val="0"/>
          <w:rtl/>
        </w:rPr>
        <w:t>יבקש היתר</w:t>
      </w:r>
      <w:r>
        <w:rPr>
          <w:rFonts w:ascii="Arial" w:hAnsi="Arial" w:hint="cs"/>
          <w:b/>
          <w:bCs/>
          <w:noProof w:val="0"/>
          <w:rtl/>
        </w:rPr>
        <w:t xml:space="preserve"> לשימוש חורג:</w:t>
      </w:r>
    </w:p>
    <w:p w:rsidR="004E4373" w:rsidRDefault="0082653C" w:rsidP="0082653C">
      <w:pPr>
        <w:pStyle w:val="ad"/>
        <w:spacing w:after="180" w:line="360" w:lineRule="auto"/>
        <w:ind w:left="510"/>
        <w:contextualSpacing w:val="0"/>
        <w:jc w:val="both"/>
        <w:rPr>
          <w:rFonts w:ascii="Arial" w:hAnsi="Arial"/>
          <w:noProof w:val="0"/>
          <w:rtl/>
        </w:rPr>
      </w:pPr>
      <w:r>
        <w:rPr>
          <w:rFonts w:ascii="Arial" w:hAnsi="Arial" w:hint="cs"/>
          <w:noProof w:val="0"/>
          <w:rtl/>
        </w:rPr>
        <w:t xml:space="preserve">במקרה זה, </w:t>
      </w:r>
      <w:r w:rsidR="004E4373">
        <w:rPr>
          <w:rFonts w:ascii="Arial" w:hAnsi="Arial" w:hint="cs"/>
          <w:noProof w:val="0"/>
          <w:rtl/>
        </w:rPr>
        <w:t>לא רק ש</w:t>
      </w:r>
      <w:r>
        <w:rPr>
          <w:rFonts w:ascii="Arial" w:hAnsi="Arial" w:hint="cs"/>
          <w:noProof w:val="0"/>
          <w:rtl/>
        </w:rPr>
        <w:t xml:space="preserve">הבעלים </w:t>
      </w:r>
      <w:r w:rsidR="004E4373">
        <w:rPr>
          <w:rFonts w:ascii="Arial" w:hAnsi="Arial" w:hint="cs"/>
          <w:noProof w:val="0"/>
          <w:rtl/>
        </w:rPr>
        <w:t>יהיה חש</w:t>
      </w:r>
      <w:r w:rsidR="00992FCA">
        <w:rPr>
          <w:rFonts w:ascii="Arial" w:hAnsi="Arial" w:hint="cs"/>
          <w:noProof w:val="0"/>
          <w:rtl/>
        </w:rPr>
        <w:t>ו</w:t>
      </w:r>
      <w:r w:rsidR="004E4373">
        <w:rPr>
          <w:rFonts w:ascii="Arial" w:hAnsi="Arial" w:hint="cs"/>
          <w:noProof w:val="0"/>
          <w:rtl/>
        </w:rPr>
        <w:t xml:space="preserve">ף להתנגדויות, לא רק שיישא בעלויות הוצאות ההיתר, אלא </w:t>
      </w:r>
      <w:r w:rsidR="004E4373" w:rsidRPr="00992FCA">
        <w:rPr>
          <w:rFonts w:ascii="Arial" w:hAnsi="Arial" w:hint="cs"/>
          <w:b/>
          <w:bCs/>
          <w:noProof w:val="0"/>
          <w:rtl/>
        </w:rPr>
        <w:t xml:space="preserve">בוודאות </w:t>
      </w:r>
      <w:r w:rsidR="004E4373">
        <w:rPr>
          <w:rFonts w:ascii="Arial" w:hAnsi="Arial" w:hint="cs"/>
          <w:noProof w:val="0"/>
          <w:rtl/>
        </w:rPr>
        <w:t xml:space="preserve">ישלם היטל השבחה על </w:t>
      </w:r>
      <w:r w:rsidR="004E4373" w:rsidRPr="00992FCA">
        <w:rPr>
          <w:rFonts w:ascii="Arial" w:hAnsi="Arial" w:hint="cs"/>
          <w:b/>
          <w:bCs/>
          <w:noProof w:val="0"/>
          <w:rtl/>
        </w:rPr>
        <w:t>מלוא</w:t>
      </w:r>
      <w:r w:rsidR="004E4373">
        <w:rPr>
          <w:rFonts w:ascii="Arial" w:hAnsi="Arial" w:hint="cs"/>
          <w:noProof w:val="0"/>
          <w:rtl/>
        </w:rPr>
        <w:t xml:space="preserve"> התקופה.</w:t>
      </w:r>
    </w:p>
    <w:p w:rsidR="000661C4" w:rsidRDefault="000661C4" w:rsidP="00F253FA">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מכאן ברור, כי מבחינה כלכלית, וכאשר מנקים שיקולי הוגנות ומוסר, הרי</w:t>
      </w:r>
      <w:r w:rsidR="00992FCA">
        <w:rPr>
          <w:rFonts w:ascii="Arial" w:hAnsi="Arial" w:hint="cs"/>
          <w:noProof w:val="0"/>
          <w:rtl/>
        </w:rPr>
        <w:t xml:space="preserve"> לאור עמדת הוועדה המקומית </w:t>
      </w:r>
      <w:r w:rsidR="00F253FA">
        <w:rPr>
          <w:rFonts w:ascii="Arial" w:hAnsi="Arial" w:hint="cs"/>
          <w:noProof w:val="0"/>
          <w:rtl/>
        </w:rPr>
        <w:t xml:space="preserve">אשר מאשרת שימוש חורג לעבר לצורך </w:t>
      </w:r>
      <w:r w:rsidR="00992FCA">
        <w:rPr>
          <w:rFonts w:ascii="Arial" w:hAnsi="Arial" w:hint="cs"/>
          <w:noProof w:val="0"/>
          <w:rtl/>
        </w:rPr>
        <w:t>גב</w:t>
      </w:r>
      <w:r w:rsidR="00F253FA">
        <w:rPr>
          <w:rFonts w:ascii="Arial" w:hAnsi="Arial" w:hint="cs"/>
          <w:noProof w:val="0"/>
          <w:rtl/>
        </w:rPr>
        <w:t>יי</w:t>
      </w:r>
      <w:r w:rsidR="00992FCA">
        <w:rPr>
          <w:rFonts w:ascii="Arial" w:hAnsi="Arial" w:hint="cs"/>
          <w:noProof w:val="0"/>
          <w:rtl/>
        </w:rPr>
        <w:t>ת היטל השבחה לתקופה רטרואקטיבית ו</w:t>
      </w:r>
      <w:r w:rsidR="00F253FA">
        <w:rPr>
          <w:rFonts w:ascii="Arial" w:hAnsi="Arial" w:hint="cs"/>
          <w:noProof w:val="0"/>
          <w:rtl/>
        </w:rPr>
        <w:t>ל</w:t>
      </w:r>
      <w:r w:rsidR="00992FCA">
        <w:rPr>
          <w:rFonts w:ascii="Arial" w:hAnsi="Arial" w:hint="cs"/>
          <w:noProof w:val="0"/>
          <w:rtl/>
        </w:rPr>
        <w:t>לא נק</w:t>
      </w:r>
      <w:r w:rsidR="00F253FA">
        <w:rPr>
          <w:rFonts w:ascii="Arial" w:hAnsi="Arial" w:hint="cs"/>
          <w:noProof w:val="0"/>
          <w:rtl/>
        </w:rPr>
        <w:t>י</w:t>
      </w:r>
      <w:r w:rsidR="00992FCA">
        <w:rPr>
          <w:rFonts w:ascii="Arial" w:hAnsi="Arial" w:hint="cs"/>
          <w:noProof w:val="0"/>
          <w:rtl/>
        </w:rPr>
        <w:t>ט</w:t>
      </w:r>
      <w:r w:rsidR="00F253FA">
        <w:rPr>
          <w:rFonts w:ascii="Arial" w:hAnsi="Arial" w:hint="cs"/>
          <w:noProof w:val="0"/>
          <w:rtl/>
        </w:rPr>
        <w:t>ת</w:t>
      </w:r>
      <w:r w:rsidR="00992FCA">
        <w:rPr>
          <w:rFonts w:ascii="Arial" w:hAnsi="Arial" w:hint="cs"/>
          <w:noProof w:val="0"/>
          <w:rtl/>
        </w:rPr>
        <w:t xml:space="preserve"> הליך פלילי,</w:t>
      </w:r>
      <w:r>
        <w:rPr>
          <w:rFonts w:ascii="Arial" w:hAnsi="Arial" w:hint="cs"/>
          <w:noProof w:val="0"/>
          <w:rtl/>
        </w:rPr>
        <w:t xml:space="preserve"> עדיף לבעל המקרקעין</w:t>
      </w:r>
      <w:r w:rsidRPr="00992FCA">
        <w:rPr>
          <w:rFonts w:ascii="Arial" w:hAnsi="Arial" w:hint="cs"/>
          <w:b/>
          <w:bCs/>
          <w:noProof w:val="0"/>
          <w:rtl/>
        </w:rPr>
        <w:t xml:space="preserve"> שלא</w:t>
      </w:r>
      <w:r>
        <w:rPr>
          <w:rFonts w:ascii="Arial" w:hAnsi="Arial" w:hint="cs"/>
          <w:noProof w:val="0"/>
          <w:rtl/>
        </w:rPr>
        <w:t xml:space="preserve"> לבקש היתר בניה.</w:t>
      </w:r>
    </w:p>
    <w:p w:rsidR="000661C4" w:rsidRDefault="000661C4" w:rsidP="000661C4">
      <w:pPr>
        <w:pStyle w:val="ad"/>
        <w:spacing w:after="180" w:line="360" w:lineRule="auto"/>
        <w:ind w:left="510"/>
        <w:contextualSpacing w:val="0"/>
        <w:jc w:val="both"/>
        <w:rPr>
          <w:rFonts w:ascii="Arial" w:hAnsi="Arial"/>
          <w:noProof w:val="0"/>
          <w:rtl/>
        </w:rPr>
      </w:pPr>
      <w:r>
        <w:rPr>
          <w:rFonts w:ascii="Arial" w:hAnsi="Arial" w:hint="cs"/>
          <w:noProof w:val="0"/>
          <w:rtl/>
        </w:rPr>
        <w:t xml:space="preserve">לפיכך, פעולת הוועדה המקומית לאשר שימוש חורג </w:t>
      </w:r>
      <w:r w:rsidR="00992FCA">
        <w:rPr>
          <w:rFonts w:ascii="Arial" w:hAnsi="Arial" w:hint="cs"/>
          <w:noProof w:val="0"/>
          <w:rtl/>
        </w:rPr>
        <w:t xml:space="preserve">לתקופה </w:t>
      </w:r>
      <w:r>
        <w:rPr>
          <w:rFonts w:ascii="Arial" w:hAnsi="Arial" w:hint="cs"/>
          <w:noProof w:val="0"/>
          <w:rtl/>
        </w:rPr>
        <w:t>רטרואקטיבית</w:t>
      </w:r>
      <w:r w:rsidR="00992FCA">
        <w:rPr>
          <w:rFonts w:ascii="Arial" w:hAnsi="Arial" w:hint="cs"/>
          <w:noProof w:val="0"/>
          <w:rtl/>
        </w:rPr>
        <w:t>,</w:t>
      </w:r>
      <w:r>
        <w:rPr>
          <w:rFonts w:ascii="Arial" w:hAnsi="Arial" w:hint="cs"/>
          <w:noProof w:val="0"/>
          <w:rtl/>
        </w:rPr>
        <w:t xml:space="preserve"> לא רק שלא תורמת למניעת עבריינות בניה, אלא מעודדת פעילות שכזו.</w:t>
      </w:r>
    </w:p>
    <w:p w:rsidR="00B42809" w:rsidRDefault="00992FCA" w:rsidP="0082653C">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לעניין זה, </w:t>
      </w:r>
      <w:r w:rsidR="000661C4">
        <w:rPr>
          <w:rFonts w:ascii="Arial" w:hAnsi="Arial" w:hint="cs"/>
          <w:noProof w:val="0"/>
          <w:rtl/>
        </w:rPr>
        <w:t xml:space="preserve">ראוי לשים לב למהות של </w:t>
      </w:r>
      <w:r>
        <w:rPr>
          <w:rFonts w:ascii="Arial" w:hAnsi="Arial" w:hint="cs"/>
          <w:noProof w:val="0"/>
          <w:rtl/>
        </w:rPr>
        <w:t>ה</w:t>
      </w:r>
      <w:r w:rsidR="000661C4">
        <w:rPr>
          <w:rFonts w:ascii="Arial" w:hAnsi="Arial" w:hint="cs"/>
          <w:noProof w:val="0"/>
          <w:rtl/>
        </w:rPr>
        <w:t>פעול</w:t>
      </w:r>
      <w:r>
        <w:rPr>
          <w:rFonts w:ascii="Arial" w:hAnsi="Arial" w:hint="cs"/>
          <w:noProof w:val="0"/>
          <w:rtl/>
        </w:rPr>
        <w:t>ה</w:t>
      </w:r>
      <w:r w:rsidR="000661C4">
        <w:rPr>
          <w:rFonts w:ascii="Arial" w:hAnsi="Arial" w:hint="cs"/>
          <w:noProof w:val="0"/>
          <w:rtl/>
        </w:rPr>
        <w:t xml:space="preserve"> </w:t>
      </w:r>
      <w:r>
        <w:rPr>
          <w:rFonts w:ascii="Arial" w:hAnsi="Arial" w:hint="cs"/>
          <w:noProof w:val="0"/>
          <w:rtl/>
        </w:rPr>
        <w:t xml:space="preserve">שנקטה כאן הוועדה המקומית. </w:t>
      </w:r>
      <w:r w:rsidR="000661C4">
        <w:rPr>
          <w:rFonts w:ascii="Arial" w:hAnsi="Arial" w:hint="cs"/>
          <w:noProof w:val="0"/>
          <w:rtl/>
        </w:rPr>
        <w:t xml:space="preserve">אין </w:t>
      </w:r>
      <w:r>
        <w:rPr>
          <w:rFonts w:ascii="Arial" w:hAnsi="Arial" w:hint="cs"/>
          <w:noProof w:val="0"/>
          <w:rtl/>
        </w:rPr>
        <w:t>לפניי</w:t>
      </w:r>
      <w:r w:rsidR="000661C4">
        <w:rPr>
          <w:rFonts w:ascii="Arial" w:hAnsi="Arial" w:hint="cs"/>
          <w:noProof w:val="0"/>
          <w:rtl/>
        </w:rPr>
        <w:t xml:space="preserve"> מצב </w:t>
      </w:r>
      <w:r>
        <w:rPr>
          <w:rFonts w:ascii="Arial" w:hAnsi="Arial" w:hint="cs"/>
          <w:noProof w:val="0"/>
          <w:rtl/>
        </w:rPr>
        <w:t>בו הוועדה המקומית הכשירה</w:t>
      </w:r>
      <w:r w:rsidR="000661C4">
        <w:rPr>
          <w:rFonts w:ascii="Arial" w:hAnsi="Arial" w:hint="cs"/>
          <w:noProof w:val="0"/>
          <w:rtl/>
        </w:rPr>
        <w:t xml:space="preserve"> עבירת בניה מכאן ואילך, </w:t>
      </w:r>
      <w:r>
        <w:rPr>
          <w:rFonts w:ascii="Arial" w:hAnsi="Arial" w:hint="cs"/>
          <w:noProof w:val="0"/>
          <w:rtl/>
        </w:rPr>
        <w:t xml:space="preserve">פעולה </w:t>
      </w:r>
      <w:r w:rsidR="000661C4">
        <w:rPr>
          <w:rFonts w:ascii="Arial" w:hAnsi="Arial" w:hint="cs"/>
          <w:noProof w:val="0"/>
          <w:rtl/>
        </w:rPr>
        <w:t>אשר אף היא זכתה לביקורת בפסיקה, אלא שהמשיבה, מיוזמתה</w:t>
      </w:r>
      <w:r w:rsidR="0082653C">
        <w:rPr>
          <w:rFonts w:ascii="Arial" w:hAnsi="Arial" w:hint="cs"/>
          <w:noProof w:val="0"/>
          <w:rtl/>
        </w:rPr>
        <w:t xml:space="preserve">, </w:t>
      </w:r>
      <w:r w:rsidR="000661C4">
        <w:rPr>
          <w:rFonts w:ascii="Arial" w:hAnsi="Arial" w:hint="cs"/>
          <w:noProof w:val="0"/>
          <w:rtl/>
        </w:rPr>
        <w:t xml:space="preserve">אישרה שימוש חורג לתקופה </w:t>
      </w:r>
      <w:r w:rsidR="000661C4" w:rsidRPr="00992FCA">
        <w:rPr>
          <w:rFonts w:ascii="Arial" w:hAnsi="Arial" w:hint="cs"/>
          <w:b/>
          <w:bCs/>
          <w:noProof w:val="0"/>
          <w:rtl/>
        </w:rPr>
        <w:t>רטרואקטיבית</w:t>
      </w:r>
      <w:r>
        <w:rPr>
          <w:rFonts w:ascii="Arial" w:hAnsi="Arial" w:hint="cs"/>
          <w:noProof w:val="0"/>
          <w:rtl/>
        </w:rPr>
        <w:t xml:space="preserve">. אישור זה, הלכה </w:t>
      </w:r>
      <w:r w:rsidR="0082653C">
        <w:rPr>
          <w:rFonts w:ascii="Arial" w:hAnsi="Arial" w:hint="cs"/>
          <w:noProof w:val="0"/>
          <w:rtl/>
        </w:rPr>
        <w:t>ו</w:t>
      </w:r>
      <w:r>
        <w:rPr>
          <w:rFonts w:ascii="Arial" w:hAnsi="Arial" w:hint="cs"/>
          <w:noProof w:val="0"/>
          <w:rtl/>
        </w:rPr>
        <w:t xml:space="preserve">גם למעשה, "מלבין" </w:t>
      </w:r>
      <w:r w:rsidR="000661C4">
        <w:rPr>
          <w:rFonts w:ascii="Arial" w:hAnsi="Arial" w:hint="cs"/>
          <w:noProof w:val="0"/>
          <w:rtl/>
        </w:rPr>
        <w:t xml:space="preserve">את </w:t>
      </w:r>
      <w:r w:rsidR="0082653C">
        <w:rPr>
          <w:rFonts w:ascii="Arial" w:hAnsi="Arial" w:hint="cs"/>
          <w:noProof w:val="0"/>
          <w:rtl/>
        </w:rPr>
        <w:t>ה</w:t>
      </w:r>
      <w:r w:rsidR="000661C4">
        <w:rPr>
          <w:rFonts w:ascii="Arial" w:hAnsi="Arial" w:hint="cs"/>
          <w:noProof w:val="0"/>
          <w:rtl/>
        </w:rPr>
        <w:t xml:space="preserve">עבירות </w:t>
      </w:r>
      <w:r w:rsidR="0082653C">
        <w:rPr>
          <w:rFonts w:ascii="Arial" w:hAnsi="Arial" w:hint="cs"/>
          <w:noProof w:val="0"/>
          <w:rtl/>
        </w:rPr>
        <w:t xml:space="preserve">שביצעו </w:t>
      </w:r>
      <w:r w:rsidR="000661C4">
        <w:rPr>
          <w:rFonts w:ascii="Arial" w:hAnsi="Arial" w:hint="cs"/>
          <w:noProof w:val="0"/>
          <w:rtl/>
        </w:rPr>
        <w:t>המערערות</w:t>
      </w:r>
      <w:r w:rsidR="0082653C">
        <w:rPr>
          <w:rFonts w:ascii="Arial" w:hAnsi="Arial" w:hint="cs"/>
          <w:noProof w:val="0"/>
          <w:rtl/>
        </w:rPr>
        <w:t xml:space="preserve">, או מי מטעמן, </w:t>
      </w:r>
      <w:r w:rsidR="000661C4">
        <w:rPr>
          <w:rFonts w:ascii="Arial" w:hAnsi="Arial" w:hint="cs"/>
          <w:noProof w:val="0"/>
          <w:rtl/>
        </w:rPr>
        <w:t xml:space="preserve">בעבר, כך שפעולות אלו הפכו להיות חוקיות וכדין. </w:t>
      </w:r>
    </w:p>
    <w:p w:rsidR="00220148" w:rsidRDefault="00220148" w:rsidP="0082653C">
      <w:pPr>
        <w:pStyle w:val="ad"/>
        <w:spacing w:after="180" w:line="360" w:lineRule="auto"/>
        <w:ind w:left="510"/>
        <w:contextualSpacing w:val="0"/>
        <w:jc w:val="both"/>
        <w:rPr>
          <w:rFonts w:ascii="Arial" w:hAnsi="Arial"/>
          <w:noProof w:val="0"/>
        </w:rPr>
      </w:pPr>
      <w:r>
        <w:rPr>
          <w:rFonts w:ascii="Arial" w:hAnsi="Arial" w:hint="cs"/>
          <w:noProof w:val="0"/>
          <w:rtl/>
        </w:rPr>
        <w:t>מכאן, כאשר ניתן על ידי הוועדה המקומית היתר שימוש חורג לעבר, לא ניתן לנקוט כל פעולת אכיפה כלפי תקופת עבר זו, ולמעשה יש לראות בה מבחינת דיני העונשין כתקופה בה פעלו המערערות</w:t>
      </w:r>
      <w:r w:rsidR="0082653C">
        <w:rPr>
          <w:rFonts w:ascii="Arial" w:hAnsi="Arial" w:hint="cs"/>
          <w:noProof w:val="0"/>
          <w:rtl/>
        </w:rPr>
        <w:t xml:space="preserve">, או המחזיקים מטעמן, </w:t>
      </w:r>
      <w:r>
        <w:rPr>
          <w:rFonts w:ascii="Arial" w:hAnsi="Arial" w:hint="cs"/>
          <w:noProof w:val="0"/>
          <w:rtl/>
        </w:rPr>
        <w:t xml:space="preserve">כדין.  </w:t>
      </w:r>
    </w:p>
    <w:p w:rsidR="000F1929" w:rsidRDefault="000A2177" w:rsidP="00D33C25">
      <w:pPr>
        <w:pStyle w:val="ad"/>
        <w:spacing w:after="180" w:line="360" w:lineRule="auto"/>
        <w:ind w:left="510"/>
        <w:contextualSpacing w:val="0"/>
        <w:jc w:val="both"/>
        <w:rPr>
          <w:rFonts w:ascii="Arial" w:hAnsi="Arial"/>
          <w:noProof w:val="0"/>
          <w:rtl/>
        </w:rPr>
      </w:pPr>
      <w:r>
        <w:rPr>
          <w:rFonts w:ascii="Arial" w:hAnsi="Arial" w:hint="cs"/>
          <w:noProof w:val="0"/>
          <w:rtl/>
        </w:rPr>
        <w:t xml:space="preserve">למה פעולת </w:t>
      </w:r>
      <w:r w:rsidR="0082653C">
        <w:rPr>
          <w:rFonts w:ascii="Arial" w:hAnsi="Arial" w:hint="cs"/>
          <w:noProof w:val="0"/>
          <w:rtl/>
        </w:rPr>
        <w:t xml:space="preserve">זו של </w:t>
      </w:r>
      <w:r>
        <w:rPr>
          <w:rFonts w:ascii="Arial" w:hAnsi="Arial" w:hint="cs"/>
          <w:noProof w:val="0"/>
          <w:rtl/>
        </w:rPr>
        <w:t xml:space="preserve">המשיבה משולה? נניח </w:t>
      </w:r>
      <w:r w:rsidR="00220148">
        <w:rPr>
          <w:rFonts w:ascii="Arial" w:hAnsi="Arial" w:hint="cs"/>
          <w:noProof w:val="0"/>
          <w:rtl/>
        </w:rPr>
        <w:t xml:space="preserve">שגנב היה גונב רכב של המשיבה מחניון העירייה, והיה נתפס </w:t>
      </w:r>
      <w:r>
        <w:rPr>
          <w:rFonts w:ascii="Arial" w:hAnsi="Arial" w:hint="cs"/>
          <w:noProof w:val="0"/>
          <w:rtl/>
        </w:rPr>
        <w:t xml:space="preserve">רק </w:t>
      </w:r>
      <w:r w:rsidR="00220148">
        <w:rPr>
          <w:rFonts w:ascii="Arial" w:hAnsi="Arial" w:hint="cs"/>
          <w:noProof w:val="0"/>
          <w:rtl/>
        </w:rPr>
        <w:t>אחרי חצי שנה, ואז המשיבה</w:t>
      </w:r>
      <w:r>
        <w:rPr>
          <w:rFonts w:ascii="Arial" w:hAnsi="Arial" w:hint="cs"/>
          <w:noProof w:val="0"/>
          <w:rtl/>
        </w:rPr>
        <w:t>, במקום למצות עם הגנב את הדין,</w:t>
      </w:r>
      <w:r w:rsidR="00220148">
        <w:rPr>
          <w:rFonts w:ascii="Arial" w:hAnsi="Arial" w:hint="cs"/>
          <w:noProof w:val="0"/>
          <w:rtl/>
        </w:rPr>
        <w:t xml:space="preserve"> הייתה מגיעה עם </w:t>
      </w:r>
      <w:r>
        <w:rPr>
          <w:rFonts w:ascii="Arial" w:hAnsi="Arial" w:hint="cs"/>
          <w:noProof w:val="0"/>
          <w:rtl/>
        </w:rPr>
        <w:t xml:space="preserve">אותו </w:t>
      </w:r>
      <w:r w:rsidR="00220148">
        <w:rPr>
          <w:rFonts w:ascii="Arial" w:hAnsi="Arial" w:hint="cs"/>
          <w:noProof w:val="0"/>
          <w:rtl/>
        </w:rPr>
        <w:t>הגנב לסיכום כי היא מוכרת לו את הרכב.</w:t>
      </w:r>
      <w:r w:rsidR="00F253FA">
        <w:rPr>
          <w:rFonts w:ascii="Arial" w:hAnsi="Arial" w:hint="cs"/>
          <w:noProof w:val="0"/>
          <w:rtl/>
        </w:rPr>
        <w:t xml:space="preserve"> נדמה כי פעולה שכזו </w:t>
      </w:r>
      <w:r w:rsidR="00D33C25">
        <w:rPr>
          <w:rFonts w:ascii="Arial" w:hAnsi="Arial" w:hint="cs"/>
          <w:noProof w:val="0"/>
          <w:rtl/>
        </w:rPr>
        <w:t xml:space="preserve">כשלעצמה </w:t>
      </w:r>
      <w:r w:rsidR="00F253FA">
        <w:rPr>
          <w:rFonts w:ascii="Arial" w:hAnsi="Arial" w:hint="cs"/>
          <w:noProof w:val="0"/>
          <w:rtl/>
        </w:rPr>
        <w:t>אינה ראויה.</w:t>
      </w:r>
      <w:r w:rsidR="00220148">
        <w:rPr>
          <w:rFonts w:ascii="Arial" w:hAnsi="Arial" w:hint="cs"/>
          <w:noProof w:val="0"/>
          <w:rtl/>
        </w:rPr>
        <w:t xml:space="preserve"> אולם</w:t>
      </w:r>
      <w:r>
        <w:rPr>
          <w:rFonts w:ascii="Arial" w:hAnsi="Arial" w:hint="cs"/>
          <w:noProof w:val="0"/>
          <w:rtl/>
        </w:rPr>
        <w:t>,</w:t>
      </w:r>
      <w:r w:rsidR="00F253FA">
        <w:rPr>
          <w:rFonts w:ascii="Arial" w:hAnsi="Arial" w:hint="cs"/>
          <w:noProof w:val="0"/>
          <w:rtl/>
        </w:rPr>
        <w:t xml:space="preserve"> ב</w:t>
      </w:r>
      <w:r w:rsidR="00D33C25">
        <w:rPr>
          <w:rFonts w:ascii="Arial" w:hAnsi="Arial" w:hint="cs"/>
          <w:noProof w:val="0"/>
          <w:rtl/>
        </w:rPr>
        <w:t>המשך לדימוי ל</w:t>
      </w:r>
      <w:r w:rsidR="00F253FA">
        <w:rPr>
          <w:rFonts w:ascii="Arial" w:hAnsi="Arial" w:hint="cs"/>
          <w:noProof w:val="0"/>
          <w:rtl/>
        </w:rPr>
        <w:t xml:space="preserve">מקרה שלפניי, </w:t>
      </w:r>
      <w:r w:rsidR="00D33C25">
        <w:rPr>
          <w:rFonts w:ascii="Arial" w:hAnsi="Arial" w:hint="cs"/>
          <w:noProof w:val="0"/>
          <w:rtl/>
        </w:rPr>
        <w:t xml:space="preserve">כאן </w:t>
      </w:r>
      <w:r w:rsidR="00220148">
        <w:rPr>
          <w:rFonts w:ascii="Arial" w:hAnsi="Arial" w:hint="cs"/>
          <w:noProof w:val="0"/>
          <w:rtl/>
        </w:rPr>
        <w:t>לא רק שה</w:t>
      </w:r>
      <w:r w:rsidR="00F253FA">
        <w:rPr>
          <w:rFonts w:ascii="Arial" w:hAnsi="Arial" w:hint="cs"/>
          <w:noProof w:val="0"/>
          <w:rtl/>
        </w:rPr>
        <w:t xml:space="preserve">משיבה </w:t>
      </w:r>
      <w:r w:rsidR="00220148">
        <w:rPr>
          <w:rFonts w:ascii="Arial" w:hAnsi="Arial" w:hint="cs"/>
          <w:noProof w:val="0"/>
          <w:rtl/>
        </w:rPr>
        <w:t>מוכרת ל</w:t>
      </w:r>
      <w:r w:rsidR="00F253FA">
        <w:rPr>
          <w:rFonts w:ascii="Arial" w:hAnsi="Arial" w:hint="cs"/>
          <w:noProof w:val="0"/>
          <w:rtl/>
        </w:rPr>
        <w:t>גנב</w:t>
      </w:r>
      <w:r w:rsidR="00220148">
        <w:rPr>
          <w:rFonts w:ascii="Arial" w:hAnsi="Arial" w:hint="cs"/>
          <w:noProof w:val="0"/>
          <w:rtl/>
        </w:rPr>
        <w:t xml:space="preserve"> את הרכב </w:t>
      </w:r>
      <w:r w:rsidR="00DA3309">
        <w:rPr>
          <w:rFonts w:ascii="Arial" w:hAnsi="Arial" w:hint="cs"/>
          <w:noProof w:val="0"/>
          <w:rtl/>
        </w:rPr>
        <w:t>מיום התפיסה</w:t>
      </w:r>
      <w:r w:rsidR="00220148">
        <w:rPr>
          <w:rFonts w:ascii="Arial" w:hAnsi="Arial" w:hint="cs"/>
          <w:noProof w:val="0"/>
          <w:rtl/>
        </w:rPr>
        <w:t xml:space="preserve">, אלא המכירה הינה </w:t>
      </w:r>
      <w:r w:rsidR="00220148" w:rsidRPr="00D33C25">
        <w:rPr>
          <w:rFonts w:ascii="Arial" w:hAnsi="Arial" w:hint="cs"/>
          <w:b/>
          <w:bCs/>
          <w:noProof w:val="0"/>
          <w:rtl/>
        </w:rPr>
        <w:t>רטרואקטיבית</w:t>
      </w:r>
      <w:r w:rsidR="00220148">
        <w:rPr>
          <w:rFonts w:ascii="Arial" w:hAnsi="Arial" w:hint="cs"/>
          <w:noProof w:val="0"/>
          <w:rtl/>
        </w:rPr>
        <w:t xml:space="preserve">, כך שלמעשה </w:t>
      </w:r>
      <w:r w:rsidR="00F253FA">
        <w:rPr>
          <w:rFonts w:ascii="Arial" w:hAnsi="Arial" w:hint="cs"/>
          <w:noProof w:val="0"/>
          <w:rtl/>
        </w:rPr>
        <w:t xml:space="preserve">יש לראות את </w:t>
      </w:r>
      <w:r w:rsidR="00220148">
        <w:rPr>
          <w:rFonts w:ascii="Arial" w:hAnsi="Arial" w:hint="cs"/>
          <w:noProof w:val="0"/>
          <w:rtl/>
        </w:rPr>
        <w:t xml:space="preserve">הרכב </w:t>
      </w:r>
      <w:r w:rsidR="00F253FA">
        <w:rPr>
          <w:rFonts w:ascii="Arial" w:hAnsi="Arial" w:hint="cs"/>
          <w:noProof w:val="0"/>
          <w:rtl/>
        </w:rPr>
        <w:t xml:space="preserve">כאילו </w:t>
      </w:r>
      <w:r>
        <w:rPr>
          <w:rFonts w:ascii="Arial" w:hAnsi="Arial" w:hint="cs"/>
          <w:noProof w:val="0"/>
          <w:rtl/>
        </w:rPr>
        <w:t xml:space="preserve">מעולם </w:t>
      </w:r>
      <w:r w:rsidR="00220148">
        <w:rPr>
          <w:rFonts w:ascii="Arial" w:hAnsi="Arial" w:hint="cs"/>
          <w:noProof w:val="0"/>
          <w:rtl/>
        </w:rPr>
        <w:t>לא נגנב</w:t>
      </w:r>
      <w:r w:rsidR="00F253FA">
        <w:rPr>
          <w:rFonts w:ascii="Arial" w:hAnsi="Arial" w:hint="cs"/>
          <w:noProof w:val="0"/>
          <w:rtl/>
        </w:rPr>
        <w:t>,</w:t>
      </w:r>
      <w:r w:rsidR="00220148">
        <w:rPr>
          <w:rFonts w:ascii="Arial" w:hAnsi="Arial" w:hint="cs"/>
          <w:noProof w:val="0"/>
          <w:rtl/>
        </w:rPr>
        <w:t xml:space="preserve"> אלא נמכר</w:t>
      </w:r>
      <w:r w:rsidR="00DA3309">
        <w:rPr>
          <w:rFonts w:ascii="Arial" w:hAnsi="Arial" w:hint="cs"/>
          <w:noProof w:val="0"/>
          <w:rtl/>
        </w:rPr>
        <w:t xml:space="preserve"> בעבר</w:t>
      </w:r>
      <w:r w:rsidR="00220148">
        <w:rPr>
          <w:rFonts w:ascii="Arial" w:hAnsi="Arial" w:hint="cs"/>
          <w:noProof w:val="0"/>
          <w:rtl/>
        </w:rPr>
        <w:t>. היעלה על הדעת שרשות ציבורית תנהג כך</w:t>
      </w:r>
      <w:r>
        <w:rPr>
          <w:rFonts w:ascii="Arial" w:hAnsi="Arial" w:hint="cs"/>
          <w:noProof w:val="0"/>
          <w:rtl/>
        </w:rPr>
        <w:t xml:space="preserve"> עם הגנב? לטעמי לא. </w:t>
      </w:r>
    </w:p>
    <w:p w:rsidR="00220148" w:rsidRDefault="000A2177" w:rsidP="00DA3309">
      <w:pPr>
        <w:pStyle w:val="ad"/>
        <w:spacing w:after="180" w:line="360" w:lineRule="auto"/>
        <w:ind w:left="510"/>
        <w:contextualSpacing w:val="0"/>
        <w:jc w:val="both"/>
        <w:rPr>
          <w:rFonts w:ascii="Arial" w:hAnsi="Arial"/>
          <w:noProof w:val="0"/>
        </w:rPr>
      </w:pPr>
      <w:r>
        <w:rPr>
          <w:rFonts w:ascii="Arial" w:hAnsi="Arial" w:hint="cs"/>
          <w:noProof w:val="0"/>
          <w:rtl/>
        </w:rPr>
        <w:t>האם יעלה על הדעת כי</w:t>
      </w:r>
      <w:r w:rsidR="00DA3309">
        <w:rPr>
          <w:rFonts w:ascii="Arial" w:hAnsi="Arial" w:hint="cs"/>
          <w:noProof w:val="0"/>
          <w:rtl/>
        </w:rPr>
        <w:t xml:space="preserve"> רשות ציבורית</w:t>
      </w:r>
      <w:r>
        <w:rPr>
          <w:rFonts w:ascii="Arial" w:hAnsi="Arial" w:hint="cs"/>
          <w:noProof w:val="0"/>
          <w:rtl/>
        </w:rPr>
        <w:t xml:space="preserve"> תנהג </w:t>
      </w:r>
      <w:r w:rsidR="00DA3309">
        <w:rPr>
          <w:rFonts w:ascii="Arial" w:hAnsi="Arial" w:hint="cs"/>
          <w:noProof w:val="0"/>
          <w:rtl/>
        </w:rPr>
        <w:t xml:space="preserve">באופן דומה </w:t>
      </w:r>
      <w:r>
        <w:rPr>
          <w:rFonts w:ascii="Arial" w:hAnsi="Arial" w:hint="cs"/>
          <w:noProof w:val="0"/>
          <w:rtl/>
        </w:rPr>
        <w:t>עם עבריין בנייה? לטעמי, גם כאן התשובה שלילית,</w:t>
      </w:r>
      <w:r w:rsidR="00220148">
        <w:rPr>
          <w:rFonts w:ascii="Arial" w:hAnsi="Arial" w:hint="cs"/>
          <w:noProof w:val="0"/>
          <w:rtl/>
        </w:rPr>
        <w:t xml:space="preserve"> ובכל מקרה ברור כי פעולה שכזו אין בה להרתיע עבריינות.</w:t>
      </w:r>
    </w:p>
    <w:p w:rsidR="00C039B5" w:rsidRDefault="00C039B5">
      <w:pPr>
        <w:bidi w:val="0"/>
        <w:rPr>
          <w:rFonts w:ascii="Arial" w:hAnsi="Arial"/>
          <w:noProof w:val="0"/>
        </w:rPr>
      </w:pPr>
      <w:r>
        <w:rPr>
          <w:rFonts w:ascii="Arial" w:hAnsi="Arial"/>
          <w:noProof w:val="0"/>
          <w:rtl/>
        </w:rPr>
        <w:br w:type="page"/>
      </w:r>
    </w:p>
    <w:p w:rsidR="00802271" w:rsidRDefault="000A2177" w:rsidP="00901E72">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lastRenderedPageBreak/>
        <w:t>למדנו אפוא כי הכשרת עבירת הבניה לעבר, הגם שמאפשרת לעמדת המשיבה גביית היטל השבחה</w:t>
      </w:r>
      <w:r w:rsidR="00DA3309">
        <w:rPr>
          <w:rFonts w:ascii="Arial" w:hAnsi="Arial" w:hint="cs"/>
          <w:noProof w:val="0"/>
          <w:rtl/>
        </w:rPr>
        <w:t xml:space="preserve"> על מלוא התקופה</w:t>
      </w:r>
      <w:r>
        <w:rPr>
          <w:rFonts w:ascii="Arial" w:hAnsi="Arial" w:hint="cs"/>
          <w:noProof w:val="0"/>
          <w:rtl/>
        </w:rPr>
        <w:t>, אין בה משום ה</w:t>
      </w:r>
      <w:r w:rsidR="00D33C25">
        <w:rPr>
          <w:rFonts w:ascii="Arial" w:hAnsi="Arial" w:hint="cs"/>
          <w:noProof w:val="0"/>
          <w:rtl/>
        </w:rPr>
        <w:t>ר</w:t>
      </w:r>
      <w:r>
        <w:rPr>
          <w:rFonts w:ascii="Arial" w:hAnsi="Arial" w:hint="cs"/>
          <w:noProof w:val="0"/>
          <w:rtl/>
        </w:rPr>
        <w:t xml:space="preserve">תעת עברייני בניה. </w:t>
      </w:r>
      <w:r w:rsidR="00550143">
        <w:rPr>
          <w:rFonts w:ascii="Arial" w:hAnsi="Arial" w:hint="cs"/>
          <w:noProof w:val="0"/>
          <w:rtl/>
        </w:rPr>
        <w:t>לעומת זאת</w:t>
      </w:r>
      <w:r>
        <w:rPr>
          <w:rFonts w:ascii="Arial" w:hAnsi="Arial" w:hint="cs"/>
          <w:noProof w:val="0"/>
          <w:rtl/>
        </w:rPr>
        <w:t>,</w:t>
      </w:r>
      <w:r w:rsidR="00550143">
        <w:rPr>
          <w:rFonts w:ascii="Arial" w:hAnsi="Arial" w:hint="cs"/>
          <w:noProof w:val="0"/>
          <w:rtl/>
        </w:rPr>
        <w:t xml:space="preserve"> נקיטת אחד משני הצעדים האחרים, </w:t>
      </w:r>
      <w:r>
        <w:rPr>
          <w:rFonts w:ascii="Arial" w:hAnsi="Arial" w:hint="cs"/>
          <w:noProof w:val="0"/>
          <w:rtl/>
        </w:rPr>
        <w:t xml:space="preserve">כגון, </w:t>
      </w:r>
      <w:r w:rsidR="00550143">
        <w:rPr>
          <w:rFonts w:ascii="Arial" w:hAnsi="Arial" w:hint="cs"/>
          <w:noProof w:val="0"/>
          <w:rtl/>
        </w:rPr>
        <w:t xml:space="preserve">סירוב לבקשה והפעלת הליכי אכיפה </w:t>
      </w:r>
      <w:r>
        <w:rPr>
          <w:rFonts w:ascii="Arial" w:hAnsi="Arial" w:hint="cs"/>
          <w:noProof w:val="0"/>
          <w:rtl/>
        </w:rPr>
        <w:t>בגין</w:t>
      </w:r>
      <w:r w:rsidR="00550143">
        <w:rPr>
          <w:rFonts w:ascii="Arial" w:hAnsi="Arial" w:hint="cs"/>
          <w:noProof w:val="0"/>
          <w:rtl/>
        </w:rPr>
        <w:t xml:space="preserve"> תקופת העבר, או אף אישור השימוש החורג לעתיד והפעלת הליכי אכיפה </w:t>
      </w:r>
      <w:r>
        <w:rPr>
          <w:rFonts w:ascii="Arial" w:hAnsi="Arial" w:hint="cs"/>
          <w:noProof w:val="0"/>
          <w:rtl/>
        </w:rPr>
        <w:t>בגין תקופת העבר</w:t>
      </w:r>
      <w:r w:rsidR="00550143">
        <w:rPr>
          <w:rFonts w:ascii="Arial" w:hAnsi="Arial" w:hint="cs"/>
          <w:noProof w:val="0"/>
          <w:rtl/>
        </w:rPr>
        <w:t>, הם אלו המגשימים את עקרון המלחמה בעבריינות הבניה והבטחה שהחוטא אכן לא י</w:t>
      </w:r>
      <w:r w:rsidR="000F1929">
        <w:rPr>
          <w:rFonts w:ascii="Arial" w:hAnsi="Arial" w:hint="cs"/>
          <w:noProof w:val="0"/>
          <w:rtl/>
        </w:rPr>
        <w:t>הא</w:t>
      </w:r>
      <w:r w:rsidR="00DA3309">
        <w:rPr>
          <w:rFonts w:ascii="Arial" w:hAnsi="Arial" w:hint="cs"/>
          <w:noProof w:val="0"/>
          <w:rtl/>
        </w:rPr>
        <w:t xml:space="preserve"> נשכר, </w:t>
      </w:r>
      <w:r w:rsidR="00DA3309" w:rsidRPr="00DA3309">
        <w:rPr>
          <w:rFonts w:ascii="Arial" w:hAnsi="Arial" w:hint="cs"/>
          <w:b/>
          <w:bCs/>
          <w:noProof w:val="0"/>
          <w:rtl/>
        </w:rPr>
        <w:t>ובנוסף</w:t>
      </w:r>
      <w:r w:rsidR="00DA3309">
        <w:rPr>
          <w:rFonts w:ascii="Arial" w:hAnsi="Arial" w:hint="cs"/>
          <w:noProof w:val="0"/>
          <w:rtl/>
        </w:rPr>
        <w:t xml:space="preserve"> הם מאפשרים גביית מלוא סכום המס בגין התעשרות העבריינים.</w:t>
      </w:r>
    </w:p>
    <w:p w:rsidR="00DA4A38" w:rsidRDefault="00550143" w:rsidP="00DA4A38">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חשוב לציין לעניין זה, כי בית המשפט בקרב עמו הוא יושב, והוא </w:t>
      </w:r>
      <w:r w:rsidR="00DA4A38">
        <w:rPr>
          <w:rFonts w:ascii="Arial" w:hAnsi="Arial" w:hint="cs"/>
          <w:noProof w:val="0"/>
          <w:rtl/>
        </w:rPr>
        <w:t xml:space="preserve">בוודאי </w:t>
      </w:r>
      <w:r>
        <w:rPr>
          <w:rFonts w:ascii="Arial" w:hAnsi="Arial" w:hint="cs"/>
          <w:noProof w:val="0"/>
          <w:rtl/>
        </w:rPr>
        <w:t>מודע לקשיים באכיפת קנסות בבית המשפט לעניינים מקומיים העמוס לעייפה. אך לטעמי, קשיים אל</w:t>
      </w:r>
      <w:r w:rsidR="00DA4A38">
        <w:rPr>
          <w:rFonts w:ascii="Arial" w:hAnsi="Arial" w:hint="cs"/>
          <w:noProof w:val="0"/>
          <w:rtl/>
        </w:rPr>
        <w:t>ו</w:t>
      </w:r>
      <w:r>
        <w:rPr>
          <w:rFonts w:ascii="Arial" w:hAnsi="Arial" w:hint="cs"/>
          <w:noProof w:val="0"/>
          <w:rtl/>
        </w:rPr>
        <w:t xml:space="preserve"> אסור להם להר</w:t>
      </w:r>
      <w:r w:rsidR="009E7F85">
        <w:rPr>
          <w:rFonts w:ascii="Arial" w:hAnsi="Arial" w:hint="cs"/>
          <w:noProof w:val="0"/>
          <w:rtl/>
        </w:rPr>
        <w:t>ת</w:t>
      </w:r>
      <w:r>
        <w:rPr>
          <w:rFonts w:ascii="Arial" w:hAnsi="Arial" w:hint="cs"/>
          <w:noProof w:val="0"/>
          <w:rtl/>
        </w:rPr>
        <w:t>יע את המשיבה מלנקוט הליכים מתאימים</w:t>
      </w:r>
      <w:r w:rsidR="00DA4A38">
        <w:rPr>
          <w:rFonts w:ascii="Arial" w:hAnsi="Arial" w:hint="cs"/>
          <w:noProof w:val="0"/>
          <w:rtl/>
        </w:rPr>
        <w:t xml:space="preserve"> לגביית אגרות, היטלים וקנסות במקרים מסוג זה</w:t>
      </w:r>
      <w:r>
        <w:rPr>
          <w:rFonts w:ascii="Arial" w:hAnsi="Arial" w:hint="cs"/>
          <w:noProof w:val="0"/>
          <w:rtl/>
        </w:rPr>
        <w:t>.</w:t>
      </w:r>
    </w:p>
    <w:p w:rsidR="000661C4" w:rsidRDefault="00550143" w:rsidP="00DA3309">
      <w:pPr>
        <w:pStyle w:val="ad"/>
        <w:spacing w:after="180" w:line="360" w:lineRule="auto"/>
        <w:ind w:left="510"/>
        <w:contextualSpacing w:val="0"/>
        <w:jc w:val="both"/>
        <w:rPr>
          <w:rFonts w:ascii="Arial" w:hAnsi="Arial"/>
          <w:noProof w:val="0"/>
        </w:rPr>
      </w:pPr>
      <w:r>
        <w:rPr>
          <w:rFonts w:ascii="Arial" w:hAnsi="Arial" w:hint="cs"/>
          <w:noProof w:val="0"/>
          <w:rtl/>
        </w:rPr>
        <w:t xml:space="preserve">ראוי </w:t>
      </w:r>
      <w:r w:rsidR="00DA4A38">
        <w:rPr>
          <w:rFonts w:ascii="Arial" w:hAnsi="Arial" w:hint="cs"/>
          <w:noProof w:val="0"/>
          <w:rtl/>
        </w:rPr>
        <w:t xml:space="preserve">אף </w:t>
      </w:r>
      <w:r>
        <w:rPr>
          <w:rFonts w:ascii="Arial" w:hAnsi="Arial" w:hint="cs"/>
          <w:noProof w:val="0"/>
          <w:rtl/>
        </w:rPr>
        <w:t xml:space="preserve">לציין בזהירות הראויה, כי ייתכן ועל המשיבה לקבוע סדר עדיפויות </w:t>
      </w:r>
      <w:r w:rsidR="00DA4A38">
        <w:rPr>
          <w:rFonts w:ascii="Arial" w:hAnsi="Arial" w:hint="cs"/>
          <w:noProof w:val="0"/>
          <w:rtl/>
        </w:rPr>
        <w:t xml:space="preserve">שונה </w:t>
      </w:r>
      <w:r>
        <w:rPr>
          <w:rFonts w:ascii="Arial" w:hAnsi="Arial" w:hint="cs"/>
          <w:noProof w:val="0"/>
          <w:rtl/>
        </w:rPr>
        <w:t xml:space="preserve">בהגשת כתבי אישום, כך שדווקא התיקים בהם קיימת עבריינות כלכלית </w:t>
      </w:r>
      <w:r w:rsidR="000D280D">
        <w:rPr>
          <w:rFonts w:ascii="Arial" w:hAnsi="Arial" w:hint="cs"/>
          <w:noProof w:val="0"/>
          <w:rtl/>
        </w:rPr>
        <w:t xml:space="preserve">מובהקת </w:t>
      </w:r>
      <w:r>
        <w:rPr>
          <w:rFonts w:ascii="Arial" w:hAnsi="Arial" w:hint="cs"/>
          <w:noProof w:val="0"/>
          <w:rtl/>
        </w:rPr>
        <w:t>המניבה לעבריינים רווחי עתק (ר' במקרה שלפניי</w:t>
      </w:r>
      <w:r w:rsidR="00DA4A38">
        <w:rPr>
          <w:rFonts w:ascii="Arial" w:hAnsi="Arial" w:hint="cs"/>
          <w:noProof w:val="0"/>
          <w:rtl/>
        </w:rPr>
        <w:t>, השבחה המסתכמת במילוני ש"ח</w:t>
      </w:r>
      <w:r w:rsidR="000D280D">
        <w:rPr>
          <w:rFonts w:ascii="Arial" w:hAnsi="Arial" w:hint="cs"/>
          <w:noProof w:val="0"/>
          <w:rtl/>
        </w:rPr>
        <w:t>) יקבלו עדיפות בהגשת כתבי אישום על פני אכיפה כנגד אזרחים רגילים</w:t>
      </w:r>
      <w:r w:rsidR="00DA3309">
        <w:rPr>
          <w:rFonts w:ascii="Arial" w:hAnsi="Arial" w:hint="cs"/>
          <w:noProof w:val="0"/>
          <w:rtl/>
        </w:rPr>
        <w:t xml:space="preserve"> בעבירות מינוריות יותר.</w:t>
      </w:r>
      <w:r w:rsidR="000D280D">
        <w:rPr>
          <w:rFonts w:ascii="Arial" w:hAnsi="Arial" w:hint="cs"/>
          <w:noProof w:val="0"/>
          <w:rtl/>
        </w:rPr>
        <w:t xml:space="preserve"> </w:t>
      </w:r>
      <w:r>
        <w:rPr>
          <w:rFonts w:ascii="Arial" w:hAnsi="Arial" w:hint="cs"/>
          <w:noProof w:val="0"/>
          <w:rtl/>
        </w:rPr>
        <w:t xml:space="preserve"> </w:t>
      </w:r>
    </w:p>
    <w:p w:rsidR="00DA4A38" w:rsidRDefault="001A0915" w:rsidP="00901E72">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המשיבה</w:t>
      </w:r>
      <w:r w:rsidR="00DA4A38">
        <w:rPr>
          <w:rFonts w:ascii="Arial" w:hAnsi="Arial" w:hint="cs"/>
          <w:noProof w:val="0"/>
          <w:rtl/>
        </w:rPr>
        <w:t xml:space="preserve"> טענה בדיון,</w:t>
      </w:r>
      <w:r>
        <w:rPr>
          <w:rFonts w:ascii="Arial" w:hAnsi="Arial" w:hint="cs"/>
          <w:noProof w:val="0"/>
          <w:rtl/>
        </w:rPr>
        <w:t xml:space="preserve"> כי לאור </w:t>
      </w:r>
      <w:r w:rsidRPr="001A0915">
        <w:rPr>
          <w:rFonts w:ascii="Arial" w:hAnsi="Arial"/>
          <w:noProof w:val="0"/>
          <w:rtl/>
        </w:rPr>
        <w:t>חוק העבירות המנהליות, תשמ"ו-1985</w:t>
      </w:r>
      <w:r w:rsidR="00DA4A38">
        <w:rPr>
          <w:rFonts w:ascii="Arial" w:hAnsi="Arial" w:hint="cs"/>
          <w:noProof w:val="0"/>
          <w:rtl/>
        </w:rPr>
        <w:t>,</w:t>
      </w:r>
      <w:r w:rsidR="00247143">
        <w:rPr>
          <w:rFonts w:ascii="Arial" w:hAnsi="Arial" w:hint="cs"/>
          <w:noProof w:val="0"/>
          <w:rtl/>
        </w:rPr>
        <w:t xml:space="preserve"> היא מוגבלת בהיקף הקנסות שהיא יכולה לדרוש</w:t>
      </w:r>
      <w:r w:rsidR="00DA4A38">
        <w:rPr>
          <w:rFonts w:ascii="Arial" w:hAnsi="Arial" w:hint="cs"/>
          <w:noProof w:val="0"/>
          <w:rtl/>
        </w:rPr>
        <w:t xml:space="preserve">, כך שהיא </w:t>
      </w:r>
      <w:r w:rsidR="00247143">
        <w:rPr>
          <w:rFonts w:ascii="Arial" w:hAnsi="Arial" w:hint="cs"/>
          <w:noProof w:val="0"/>
          <w:rtl/>
        </w:rPr>
        <w:t>אינה יכולה להפעיל את</w:t>
      </w:r>
      <w:r w:rsidR="00DA3309">
        <w:rPr>
          <w:rFonts w:ascii="Arial" w:hAnsi="Arial" w:hint="cs"/>
          <w:noProof w:val="0"/>
          <w:rtl/>
        </w:rPr>
        <w:t xml:space="preserve"> האופציות העומדות לראשותה, בין היתר, </w:t>
      </w:r>
      <w:r w:rsidR="00DA4A38">
        <w:rPr>
          <w:rFonts w:ascii="Arial" w:hAnsi="Arial" w:hint="cs"/>
          <w:noProof w:val="0"/>
          <w:rtl/>
        </w:rPr>
        <w:t xml:space="preserve">בסעיפים </w:t>
      </w:r>
      <w:r w:rsidR="001B74D9">
        <w:rPr>
          <w:rFonts w:ascii="Arial" w:hAnsi="Arial" w:hint="cs"/>
          <w:noProof w:val="0"/>
          <w:rtl/>
        </w:rPr>
        <w:t>254י'</w:t>
      </w:r>
      <w:r w:rsidR="00DA4A38">
        <w:rPr>
          <w:rFonts w:ascii="Arial" w:hAnsi="Arial" w:hint="cs"/>
          <w:noProof w:val="0"/>
          <w:rtl/>
        </w:rPr>
        <w:t xml:space="preserve"> ו-</w:t>
      </w:r>
      <w:r w:rsidR="00247143">
        <w:rPr>
          <w:rFonts w:ascii="Arial" w:hAnsi="Arial" w:hint="cs"/>
          <w:noProof w:val="0"/>
          <w:rtl/>
        </w:rPr>
        <w:t xml:space="preserve"> 245(3) </w:t>
      </w:r>
      <w:r w:rsidR="00DA3309">
        <w:rPr>
          <w:rFonts w:ascii="Arial" w:hAnsi="Arial" w:hint="cs"/>
          <w:noProof w:val="0"/>
          <w:rtl/>
        </w:rPr>
        <w:t xml:space="preserve">לחוק התכנון והבניה </w:t>
      </w:r>
      <w:r w:rsidR="00247143">
        <w:rPr>
          <w:rFonts w:ascii="Arial" w:hAnsi="Arial" w:hint="cs"/>
          <w:noProof w:val="0"/>
          <w:rtl/>
        </w:rPr>
        <w:t>שצוטט</w:t>
      </w:r>
      <w:r w:rsidR="00DA4A38">
        <w:rPr>
          <w:rFonts w:ascii="Arial" w:hAnsi="Arial" w:hint="cs"/>
          <w:noProof w:val="0"/>
          <w:rtl/>
        </w:rPr>
        <w:t>ו</w:t>
      </w:r>
      <w:r w:rsidR="00247143">
        <w:rPr>
          <w:rFonts w:ascii="Arial" w:hAnsi="Arial" w:hint="cs"/>
          <w:noProof w:val="0"/>
          <w:rtl/>
        </w:rPr>
        <w:t xml:space="preserve"> לעיל.</w:t>
      </w:r>
    </w:p>
    <w:p w:rsidR="00247143" w:rsidRDefault="00DA4A38" w:rsidP="00DA4A38">
      <w:pPr>
        <w:pStyle w:val="ad"/>
        <w:spacing w:after="180" w:line="360" w:lineRule="auto"/>
        <w:ind w:left="510"/>
        <w:contextualSpacing w:val="0"/>
        <w:jc w:val="both"/>
        <w:rPr>
          <w:rFonts w:ascii="Arial" w:hAnsi="Arial"/>
          <w:noProof w:val="0"/>
          <w:rtl/>
        </w:rPr>
      </w:pPr>
      <w:r>
        <w:rPr>
          <w:rFonts w:ascii="Arial" w:hAnsi="Arial" w:hint="cs"/>
          <w:noProof w:val="0"/>
          <w:rtl/>
        </w:rPr>
        <w:t xml:space="preserve">יש לדחות טענה זו. </w:t>
      </w:r>
      <w:r w:rsidR="00247143">
        <w:rPr>
          <w:rFonts w:ascii="Arial" w:hAnsi="Arial" w:hint="cs"/>
          <w:noProof w:val="0"/>
          <w:rtl/>
        </w:rPr>
        <w:t xml:space="preserve">חוק </w:t>
      </w:r>
      <w:r>
        <w:rPr>
          <w:rFonts w:ascii="Arial" w:hAnsi="Arial" w:hint="cs"/>
          <w:noProof w:val="0"/>
          <w:rtl/>
        </w:rPr>
        <w:t xml:space="preserve">העבירות המנהליות </w:t>
      </w:r>
      <w:r w:rsidR="00247143">
        <w:rPr>
          <w:rFonts w:ascii="Arial" w:hAnsi="Arial" w:hint="cs"/>
          <w:noProof w:val="0"/>
          <w:rtl/>
        </w:rPr>
        <w:t>קובע מפורשות</w:t>
      </w:r>
      <w:r>
        <w:rPr>
          <w:rFonts w:ascii="Arial" w:hAnsi="Arial" w:hint="cs"/>
          <w:noProof w:val="0"/>
          <w:rtl/>
        </w:rPr>
        <w:t>,</w:t>
      </w:r>
      <w:r w:rsidR="00247143">
        <w:rPr>
          <w:rFonts w:ascii="Arial" w:hAnsi="Arial" w:hint="cs"/>
          <w:noProof w:val="0"/>
          <w:rtl/>
        </w:rPr>
        <w:t xml:space="preserve"> כי אין בקביעת עבירה כעבירה מנ</w:t>
      </w:r>
      <w:r>
        <w:rPr>
          <w:rFonts w:ascii="Arial" w:hAnsi="Arial" w:hint="cs"/>
          <w:noProof w:val="0"/>
          <w:rtl/>
        </w:rPr>
        <w:t xml:space="preserve">הלית </w:t>
      </w:r>
      <w:r w:rsidR="00901E72">
        <w:rPr>
          <w:rFonts w:ascii="Arial" w:hAnsi="Arial" w:hint="cs"/>
          <w:noProof w:val="0"/>
          <w:rtl/>
        </w:rPr>
        <w:t xml:space="preserve">בכדי </w:t>
      </w:r>
      <w:r>
        <w:rPr>
          <w:rFonts w:ascii="Arial" w:hAnsi="Arial" w:hint="cs"/>
          <w:noProof w:val="0"/>
          <w:rtl/>
        </w:rPr>
        <w:t xml:space="preserve">למנוע הגשת כתב אישום בגינה, </w:t>
      </w:r>
      <w:r w:rsidR="00247143">
        <w:rPr>
          <w:rFonts w:ascii="Arial" w:hAnsi="Arial" w:hint="cs"/>
          <w:noProof w:val="0"/>
          <w:rtl/>
        </w:rPr>
        <w:t>ר' סעיף 15</w:t>
      </w:r>
      <w:r>
        <w:rPr>
          <w:rFonts w:ascii="Arial" w:hAnsi="Arial" w:hint="cs"/>
          <w:noProof w:val="0"/>
          <w:rtl/>
        </w:rPr>
        <w:t xml:space="preserve"> לחוק זה:</w:t>
      </w:r>
    </w:p>
    <w:p w:rsidR="00247143" w:rsidRPr="00247143" w:rsidRDefault="00247143" w:rsidP="00247143">
      <w:pPr>
        <w:spacing w:after="180" w:line="360" w:lineRule="auto"/>
        <w:ind w:left="1077" w:right="426"/>
        <w:jc w:val="both"/>
        <w:rPr>
          <w:rFonts w:ascii="Arial" w:hAnsi="Arial"/>
          <w:b/>
          <w:bCs/>
          <w:noProof w:val="0"/>
          <w:rtl/>
        </w:rPr>
      </w:pPr>
      <w:r w:rsidRPr="00247143">
        <w:rPr>
          <w:rFonts w:ascii="Arial" w:hAnsi="Arial" w:hint="cs"/>
          <w:b/>
          <w:bCs/>
          <w:noProof w:val="0"/>
          <w:rtl/>
        </w:rPr>
        <w:t>"</w:t>
      </w:r>
      <w:r w:rsidRPr="00247143">
        <w:rPr>
          <w:rFonts w:ascii="Arial" w:hAnsi="Arial"/>
          <w:b/>
          <w:bCs/>
          <w:noProof w:val="0"/>
          <w:rtl/>
        </w:rPr>
        <w:t>קביעת עבירה כעבירה מינהלית אין בה כדי לגרוע מסמכותו של תובע להגיש בשלה כתב אישום, כאשר הוא סבור שהנסיבות מצדיקות זאת מטעמים שיירשמו</w:t>
      </w:r>
      <w:r w:rsidRPr="00247143">
        <w:rPr>
          <w:rFonts w:ascii="Arial" w:hAnsi="Arial" w:hint="cs"/>
          <w:b/>
          <w:bCs/>
          <w:noProof w:val="0"/>
          <w:rtl/>
        </w:rPr>
        <w:t>..."</w:t>
      </w:r>
    </w:p>
    <w:p w:rsidR="001A0915" w:rsidRPr="001A0915" w:rsidRDefault="00247143" w:rsidP="00247143">
      <w:pPr>
        <w:pStyle w:val="ad"/>
        <w:spacing w:after="180" w:line="360" w:lineRule="auto"/>
        <w:ind w:left="510"/>
        <w:contextualSpacing w:val="0"/>
        <w:jc w:val="both"/>
        <w:rPr>
          <w:rFonts w:ascii="Arial" w:hAnsi="Arial"/>
          <w:noProof w:val="0"/>
          <w:rtl/>
        </w:rPr>
      </w:pPr>
      <w:r>
        <w:rPr>
          <w:rFonts w:ascii="Arial" w:hAnsi="Arial" w:hint="cs"/>
          <w:noProof w:val="0"/>
          <w:rtl/>
        </w:rPr>
        <w:t>מבלי לקבוע מסמרות בעניין, נראה כי הגשת כתב אישום על עבירת שימוש חורג המכניסה לעבריין מיליוני ₪ בשנה</w:t>
      </w:r>
      <w:r w:rsidR="00DA4A38">
        <w:rPr>
          <w:rFonts w:ascii="Arial" w:hAnsi="Arial" w:hint="cs"/>
          <w:noProof w:val="0"/>
          <w:rtl/>
        </w:rPr>
        <w:t>,</w:t>
      </w:r>
      <w:r>
        <w:rPr>
          <w:rFonts w:ascii="Arial" w:hAnsi="Arial" w:hint="cs"/>
          <w:noProof w:val="0"/>
          <w:rtl/>
        </w:rPr>
        <w:t xml:space="preserve"> ואשר מקנה למשיבה זכות לדרוש קנס בקנה מידה משמעותי</w:t>
      </w:r>
      <w:r w:rsidR="00DA3309">
        <w:rPr>
          <w:rFonts w:ascii="Arial" w:hAnsi="Arial" w:hint="cs"/>
          <w:noProof w:val="0"/>
          <w:rtl/>
        </w:rPr>
        <w:t xml:space="preserve"> של מיליוני ש"ח</w:t>
      </w:r>
      <w:r>
        <w:rPr>
          <w:rFonts w:ascii="Arial" w:hAnsi="Arial" w:hint="cs"/>
          <w:noProof w:val="0"/>
          <w:rtl/>
        </w:rPr>
        <w:t>, הינה בגדר נסיבה מצ</w:t>
      </w:r>
      <w:r w:rsidR="00DA4A38">
        <w:rPr>
          <w:rFonts w:ascii="Arial" w:hAnsi="Arial" w:hint="cs"/>
          <w:noProof w:val="0"/>
          <w:rtl/>
        </w:rPr>
        <w:t>ו</w:t>
      </w:r>
      <w:r>
        <w:rPr>
          <w:rFonts w:ascii="Arial" w:hAnsi="Arial" w:hint="cs"/>
          <w:noProof w:val="0"/>
          <w:rtl/>
        </w:rPr>
        <w:t xml:space="preserve">דקת </w:t>
      </w:r>
      <w:r w:rsidR="00DA4A38">
        <w:rPr>
          <w:rFonts w:ascii="Arial" w:hAnsi="Arial" w:hint="cs"/>
          <w:noProof w:val="0"/>
          <w:rtl/>
        </w:rPr>
        <w:t xml:space="preserve">בהחלט </w:t>
      </w:r>
      <w:r>
        <w:rPr>
          <w:rFonts w:ascii="Arial" w:hAnsi="Arial" w:hint="cs"/>
          <w:noProof w:val="0"/>
          <w:rtl/>
        </w:rPr>
        <w:t xml:space="preserve">להגשת כתב אישום. </w:t>
      </w:r>
    </w:p>
    <w:p w:rsidR="000C6E7F" w:rsidRDefault="000C6E7F" w:rsidP="00F81CF5">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לאור האמור לעיל, לטעמי</w:t>
      </w:r>
      <w:r w:rsidR="00DA3309">
        <w:rPr>
          <w:rFonts w:ascii="Arial" w:hAnsi="Arial" w:hint="cs"/>
          <w:noProof w:val="0"/>
          <w:rtl/>
        </w:rPr>
        <w:t>,</w:t>
      </w:r>
      <w:r>
        <w:rPr>
          <w:rFonts w:ascii="Arial" w:hAnsi="Arial" w:hint="cs"/>
          <w:noProof w:val="0"/>
          <w:rtl/>
        </w:rPr>
        <w:t xml:space="preserve"> התבוננות נורמטיבית על הסוגיה, כפי שביקשה לעשות ועדת הערר, מובילה למסקנה כי אין מקום להכיר בחיוב היטל השבחה רטרואקטיבי, חיוב שכזה אמנם נותן מענה </w:t>
      </w:r>
      <w:r w:rsidR="00F81CF5">
        <w:rPr>
          <w:rFonts w:ascii="Arial" w:hAnsi="Arial" w:hint="cs"/>
          <w:noProof w:val="0"/>
          <w:rtl/>
        </w:rPr>
        <w:t xml:space="preserve">לעקרון </w:t>
      </w:r>
      <w:r>
        <w:rPr>
          <w:rFonts w:ascii="Arial" w:hAnsi="Arial" w:hint="cs"/>
          <w:noProof w:val="0"/>
          <w:rtl/>
        </w:rPr>
        <w:t xml:space="preserve">ההתעשרות והחיוב בגינה בהיטל השבחה, אך מעודד עבריינות בניה. </w:t>
      </w:r>
    </w:p>
    <w:p w:rsidR="00802271" w:rsidRDefault="000C6E7F" w:rsidP="00C039B5">
      <w:pPr>
        <w:pStyle w:val="ad"/>
        <w:spacing w:after="180" w:line="360" w:lineRule="auto"/>
        <w:ind w:left="510"/>
        <w:contextualSpacing w:val="0"/>
        <w:jc w:val="both"/>
        <w:rPr>
          <w:rFonts w:ascii="Arial" w:hAnsi="Arial"/>
          <w:noProof w:val="0"/>
        </w:rPr>
      </w:pPr>
      <w:r>
        <w:rPr>
          <w:rFonts w:ascii="Arial" w:hAnsi="Arial" w:hint="cs"/>
          <w:noProof w:val="0"/>
          <w:rtl/>
        </w:rPr>
        <w:lastRenderedPageBreak/>
        <w:t xml:space="preserve">קיימת חלופה נורמטיבית טובה בהרבה, במסגרתה ניתן גם לחייב בהיטל השבחה בגין ההתעשרות וגם להרתיע עברייני בניה.  </w:t>
      </w:r>
    </w:p>
    <w:p w:rsidR="00BE73B8" w:rsidRPr="00BE73B8" w:rsidRDefault="00BE73B8" w:rsidP="00BE73B8">
      <w:pPr>
        <w:spacing w:after="180" w:line="360" w:lineRule="auto"/>
        <w:jc w:val="both"/>
        <w:rPr>
          <w:rFonts w:ascii="Arial" w:hAnsi="Arial"/>
          <w:b/>
          <w:bCs/>
          <w:noProof w:val="0"/>
          <w:u w:val="single"/>
        </w:rPr>
      </w:pPr>
      <w:r w:rsidRPr="00BE73B8">
        <w:rPr>
          <w:rFonts w:ascii="Arial" w:hAnsi="Arial" w:hint="cs"/>
          <w:b/>
          <w:bCs/>
          <w:noProof w:val="0"/>
          <w:u w:val="single"/>
          <w:rtl/>
        </w:rPr>
        <w:t>שיקולי המדיניות הנוגעים</w:t>
      </w:r>
      <w:r w:rsidRPr="00BE73B8">
        <w:rPr>
          <w:rFonts w:ascii="Arial" w:hAnsi="Arial"/>
          <w:b/>
          <w:bCs/>
          <w:noProof w:val="0"/>
          <w:u w:val="single"/>
          <w:rtl/>
        </w:rPr>
        <w:t xml:space="preserve"> </w:t>
      </w:r>
      <w:r w:rsidRPr="00BE73B8">
        <w:rPr>
          <w:rFonts w:ascii="Arial" w:hAnsi="Arial" w:hint="cs"/>
          <w:b/>
          <w:bCs/>
          <w:noProof w:val="0"/>
          <w:u w:val="single"/>
          <w:rtl/>
        </w:rPr>
        <w:t>'</w:t>
      </w:r>
      <w:r w:rsidRPr="00BE73B8">
        <w:rPr>
          <w:rFonts w:ascii="Arial" w:hAnsi="Arial"/>
          <w:b/>
          <w:bCs/>
          <w:noProof w:val="0"/>
          <w:u w:val="single"/>
          <w:rtl/>
        </w:rPr>
        <w:t>לאכיפה של דיני התכנון והבניה</w:t>
      </w:r>
      <w:r w:rsidRPr="00BE73B8">
        <w:rPr>
          <w:rFonts w:ascii="Arial" w:hAnsi="Arial" w:hint="cs"/>
          <w:b/>
          <w:bCs/>
          <w:noProof w:val="0"/>
          <w:u w:val="single"/>
          <w:rtl/>
        </w:rPr>
        <w:t xml:space="preserve">' בפסק הדין בעניין נקר  </w:t>
      </w:r>
    </w:p>
    <w:p w:rsidR="000E16FE" w:rsidRDefault="001A0915" w:rsidP="00BE73B8">
      <w:pPr>
        <w:pStyle w:val="ad"/>
        <w:numPr>
          <w:ilvl w:val="0"/>
          <w:numId w:val="1"/>
        </w:numPr>
        <w:spacing w:after="180" w:line="360" w:lineRule="auto"/>
        <w:ind w:left="510" w:hanging="567"/>
        <w:contextualSpacing w:val="0"/>
        <w:jc w:val="both"/>
        <w:rPr>
          <w:rFonts w:ascii="Arial" w:hAnsi="Arial"/>
          <w:noProof w:val="0"/>
        </w:rPr>
      </w:pPr>
      <w:r w:rsidRPr="000E16FE">
        <w:rPr>
          <w:rFonts w:ascii="Arial" w:hAnsi="Arial" w:hint="cs"/>
          <w:noProof w:val="0"/>
          <w:rtl/>
        </w:rPr>
        <w:t>הפסיקה בנושא</w:t>
      </w:r>
      <w:r w:rsidR="00F81CF5">
        <w:rPr>
          <w:rFonts w:ascii="Arial" w:hAnsi="Arial" w:hint="cs"/>
          <w:noProof w:val="0"/>
          <w:rtl/>
        </w:rPr>
        <w:t xml:space="preserve"> </w:t>
      </w:r>
      <w:r w:rsidRPr="000E16FE">
        <w:rPr>
          <w:rFonts w:ascii="Arial" w:hAnsi="Arial" w:hint="cs"/>
          <w:noProof w:val="0"/>
          <w:rtl/>
        </w:rPr>
        <w:t>אף היא</w:t>
      </w:r>
      <w:r w:rsidR="000E16FE">
        <w:rPr>
          <w:rFonts w:ascii="Arial" w:hAnsi="Arial" w:hint="cs"/>
          <w:noProof w:val="0"/>
          <w:rtl/>
        </w:rPr>
        <w:t xml:space="preserve"> קבעה כי במקרים </w:t>
      </w:r>
      <w:r w:rsidR="00BE73B8">
        <w:rPr>
          <w:rFonts w:ascii="Arial" w:hAnsi="Arial" w:hint="cs"/>
          <w:noProof w:val="0"/>
          <w:rtl/>
        </w:rPr>
        <w:t>דומים למקרה</w:t>
      </w:r>
      <w:r w:rsidR="000E16FE">
        <w:rPr>
          <w:rFonts w:ascii="Arial" w:hAnsi="Arial" w:hint="cs"/>
          <w:noProof w:val="0"/>
          <w:rtl/>
        </w:rPr>
        <w:t xml:space="preserve"> זה, אין מקום לנקוט בדרכים "יצ</w:t>
      </w:r>
      <w:r w:rsidR="00C47359">
        <w:rPr>
          <w:rFonts w:ascii="Arial" w:hAnsi="Arial" w:hint="cs"/>
          <w:noProof w:val="0"/>
          <w:rtl/>
        </w:rPr>
        <w:t>י</w:t>
      </w:r>
      <w:r w:rsidR="000E16FE">
        <w:rPr>
          <w:rFonts w:ascii="Arial" w:hAnsi="Arial" w:hint="cs"/>
          <w:noProof w:val="0"/>
          <w:rtl/>
        </w:rPr>
        <w:t>רתיות" לגביית היטל השבחה בגין העבר, וכנגד העברי</w:t>
      </w:r>
      <w:r w:rsidR="000C6E7F">
        <w:rPr>
          <w:rFonts w:ascii="Arial" w:hAnsi="Arial" w:hint="cs"/>
          <w:noProof w:val="0"/>
          <w:rtl/>
        </w:rPr>
        <w:t>ינים יש לנקוט בהליכי אכיפה כדין, אשר במסגרתם ניתן לגבות גם את האגרות וההיטלים.</w:t>
      </w:r>
    </w:p>
    <w:p w:rsidR="00C47359" w:rsidRDefault="00C47359" w:rsidP="00F81CF5">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פסק הדין הראשון הרלוונטי לענייננו הינו פסק הדין בעניין </w:t>
      </w:r>
      <w:r w:rsidRPr="00C47359">
        <w:rPr>
          <w:rFonts w:ascii="Arial" w:hAnsi="Arial" w:hint="cs"/>
          <w:b/>
          <w:bCs/>
          <w:noProof w:val="0"/>
          <w:rtl/>
        </w:rPr>
        <w:t>נקר</w:t>
      </w:r>
      <w:r>
        <w:rPr>
          <w:rFonts w:ascii="Arial" w:hAnsi="Arial" w:hint="cs"/>
          <w:noProof w:val="0"/>
          <w:rtl/>
        </w:rPr>
        <w:t xml:space="preserve"> לעיל.</w:t>
      </w:r>
      <w:r w:rsidR="001D40FB">
        <w:rPr>
          <w:rFonts w:ascii="Arial" w:hAnsi="Arial" w:hint="cs"/>
          <w:noProof w:val="0"/>
          <w:rtl/>
        </w:rPr>
        <w:t xml:space="preserve"> בפסק הדין בעניין </w:t>
      </w:r>
      <w:r w:rsidR="001D40FB" w:rsidRPr="000C6E7F">
        <w:rPr>
          <w:rFonts w:ascii="Arial" w:hAnsi="Arial" w:hint="cs"/>
          <w:b/>
          <w:bCs/>
          <w:noProof w:val="0"/>
          <w:rtl/>
        </w:rPr>
        <w:t>נקר</w:t>
      </w:r>
      <w:r w:rsidR="001D40FB">
        <w:rPr>
          <w:rFonts w:ascii="Arial" w:hAnsi="Arial" w:hint="cs"/>
          <w:noProof w:val="0"/>
          <w:rtl/>
        </w:rPr>
        <w:t>, נדו</w:t>
      </w:r>
      <w:r w:rsidR="00F81CF5">
        <w:rPr>
          <w:rFonts w:ascii="Arial" w:hAnsi="Arial" w:hint="cs"/>
          <w:noProof w:val="0"/>
          <w:rtl/>
        </w:rPr>
        <w:t xml:space="preserve">נה </w:t>
      </w:r>
      <w:r w:rsidR="001D40FB">
        <w:rPr>
          <w:rFonts w:ascii="Arial" w:hAnsi="Arial" w:hint="cs"/>
          <w:noProof w:val="0"/>
          <w:rtl/>
        </w:rPr>
        <w:t xml:space="preserve">שאלה </w:t>
      </w:r>
      <w:r w:rsidR="000C6E7F">
        <w:rPr>
          <w:rFonts w:ascii="Arial" w:hAnsi="Arial" w:hint="cs"/>
          <w:noProof w:val="0"/>
          <w:rtl/>
        </w:rPr>
        <w:t xml:space="preserve">עקרונית </w:t>
      </w:r>
      <w:r w:rsidR="001D40FB">
        <w:rPr>
          <w:rFonts w:ascii="Arial" w:hAnsi="Arial" w:hint="cs"/>
          <w:noProof w:val="0"/>
          <w:rtl/>
        </w:rPr>
        <w:t xml:space="preserve">דומה לשאלה שלפניי, והיא מועד המימוש במקרה של "הכשרת" </w:t>
      </w:r>
      <w:r w:rsidR="001D40FB" w:rsidRPr="00F81CF5">
        <w:rPr>
          <w:rFonts w:ascii="Arial" w:hAnsi="Arial" w:hint="cs"/>
          <w:noProof w:val="0"/>
          <w:rtl/>
        </w:rPr>
        <w:t xml:space="preserve">בניה </w:t>
      </w:r>
      <w:r w:rsidR="001D40FB">
        <w:rPr>
          <w:rFonts w:ascii="Arial" w:hAnsi="Arial" w:hint="cs"/>
          <w:noProof w:val="0"/>
          <w:rtl/>
        </w:rPr>
        <w:t>בלתי חוקית, וזאת על רקע הגדרת מימוש זכויות בתוספת השלישית, הקובעת:</w:t>
      </w:r>
    </w:p>
    <w:p w:rsidR="00687CBB" w:rsidRDefault="001D40FB" w:rsidP="00687CBB">
      <w:pPr>
        <w:pStyle w:val="ruller5"/>
        <w:tabs>
          <w:tab w:val="left" w:pos="7740"/>
        </w:tabs>
        <w:bidi/>
        <w:spacing w:before="0" w:beforeAutospacing="0" w:after="0" w:afterAutospacing="0"/>
        <w:ind w:left="1077" w:right="284"/>
        <w:jc w:val="both"/>
        <w:rPr>
          <w:rFonts w:ascii="Arial" w:hAnsi="Arial" w:cs="David"/>
          <w:b/>
          <w:bCs/>
          <w:rtl/>
        </w:rPr>
      </w:pPr>
      <w:r w:rsidRPr="001D40FB">
        <w:rPr>
          <w:rFonts w:ascii="Arial" w:hAnsi="Arial" w:cs="David"/>
          <w:b/>
          <w:bCs/>
          <w:rtl/>
        </w:rPr>
        <w:t>"</w:t>
      </w:r>
      <w:r w:rsidR="00687CBB">
        <w:rPr>
          <w:rFonts w:ascii="Arial" w:hAnsi="Arial" w:cs="David" w:hint="cs"/>
          <w:b/>
          <w:bCs/>
          <w:rtl/>
        </w:rPr>
        <w:t xml:space="preserve">1(א) </w:t>
      </w:r>
    </w:p>
    <w:p w:rsidR="001D40FB" w:rsidRPr="001D40FB" w:rsidRDefault="00687CBB" w:rsidP="00687CBB">
      <w:pPr>
        <w:pStyle w:val="ruller5"/>
        <w:tabs>
          <w:tab w:val="left" w:pos="7740"/>
        </w:tabs>
        <w:bidi/>
        <w:spacing w:before="0" w:beforeAutospacing="0" w:after="0" w:afterAutospacing="0"/>
        <w:ind w:left="1077" w:right="284"/>
        <w:jc w:val="both"/>
        <w:rPr>
          <w:rFonts w:ascii="Arial" w:hAnsi="Arial" w:cs="David"/>
          <w:b/>
          <w:bCs/>
          <w:rtl/>
        </w:rPr>
      </w:pPr>
      <w:r>
        <w:rPr>
          <w:rFonts w:ascii="Arial" w:hAnsi="Arial" w:cs="David" w:hint="cs"/>
          <w:b/>
          <w:bCs/>
          <w:rtl/>
        </w:rPr>
        <w:t>'</w:t>
      </w:r>
      <w:r w:rsidR="001D40FB" w:rsidRPr="001D40FB">
        <w:rPr>
          <w:rFonts w:ascii="Arial" w:hAnsi="Arial" w:cs="David"/>
          <w:b/>
          <w:bCs/>
          <w:rtl/>
        </w:rPr>
        <w:t>מימוש זכויות', במקרקעין – אחת מאלה:</w:t>
      </w:r>
    </w:p>
    <w:p w:rsidR="001D40FB" w:rsidRPr="001D40FB" w:rsidRDefault="001D40FB" w:rsidP="001D40FB">
      <w:pPr>
        <w:pStyle w:val="ruller5"/>
        <w:tabs>
          <w:tab w:val="left" w:pos="7740"/>
        </w:tabs>
        <w:bidi/>
        <w:spacing w:before="0" w:beforeAutospacing="0" w:after="0" w:afterAutospacing="0"/>
        <w:ind w:left="1077" w:right="284"/>
        <w:jc w:val="both"/>
        <w:rPr>
          <w:rFonts w:ascii="Arial" w:hAnsi="Arial" w:cs="David"/>
          <w:b/>
          <w:bCs/>
          <w:rtl/>
        </w:rPr>
      </w:pPr>
      <w:r w:rsidRPr="001D40FB">
        <w:rPr>
          <w:rFonts w:ascii="Arial" w:hAnsi="Arial" w:cs="David" w:hint="cs"/>
          <w:b/>
          <w:bCs/>
          <w:rtl/>
        </w:rPr>
        <w:t>.</w:t>
      </w:r>
    </w:p>
    <w:p w:rsidR="00B42809" w:rsidRDefault="001A0915" w:rsidP="001D40FB">
      <w:pPr>
        <w:pStyle w:val="ad"/>
        <w:tabs>
          <w:tab w:val="left" w:pos="7740"/>
        </w:tabs>
        <w:spacing w:after="180" w:line="360" w:lineRule="auto"/>
        <w:ind w:left="1077" w:right="284"/>
        <w:contextualSpacing w:val="0"/>
        <w:jc w:val="both"/>
        <w:rPr>
          <w:rFonts w:ascii="Arial" w:hAnsi="Arial"/>
          <w:b/>
          <w:bCs/>
          <w:noProof w:val="0"/>
          <w:rtl/>
        </w:rPr>
      </w:pPr>
      <w:r w:rsidRPr="001D40FB">
        <w:rPr>
          <w:rFonts w:ascii="Arial" w:hAnsi="Arial" w:hint="cs"/>
          <w:b/>
          <w:bCs/>
          <w:noProof w:val="0"/>
          <w:rtl/>
        </w:rPr>
        <w:t xml:space="preserve"> </w:t>
      </w:r>
      <w:r w:rsidR="001D40FB" w:rsidRPr="001D40FB">
        <w:rPr>
          <w:rFonts w:ascii="Arial" w:hAnsi="Arial"/>
          <w:b/>
          <w:bCs/>
          <w:noProof w:val="0"/>
          <w:rtl/>
        </w:rPr>
        <w:t>(2)</w:t>
      </w:r>
      <w:r w:rsidR="001D40FB">
        <w:rPr>
          <w:rFonts w:ascii="Arial" w:hAnsi="Arial" w:hint="cs"/>
          <w:b/>
          <w:bCs/>
          <w:noProof w:val="0"/>
          <w:rtl/>
        </w:rPr>
        <w:t xml:space="preserve"> </w:t>
      </w:r>
      <w:r w:rsidR="001D40FB" w:rsidRPr="001D40FB">
        <w:rPr>
          <w:rFonts w:ascii="Arial" w:hAnsi="Arial"/>
          <w:b/>
          <w:bCs/>
          <w:noProof w:val="0"/>
          <w:rtl/>
        </w:rPr>
        <w:t>התחלת השימוש בהם בפועל כפי שהותר לראשונה עקב אישור התכנית שבעקבותיו חל היטל השבחה, ואולם לא יראו בהתחלת שימוש מכוח אישור לשינוי שימוש לפי סעיף 145ה כמימוש זכויות;</w:t>
      </w:r>
      <w:r w:rsidR="001D40FB">
        <w:rPr>
          <w:rFonts w:ascii="Arial" w:hAnsi="Arial" w:hint="cs"/>
          <w:b/>
          <w:bCs/>
          <w:noProof w:val="0"/>
          <w:rtl/>
        </w:rPr>
        <w:t>"</w:t>
      </w:r>
    </w:p>
    <w:p w:rsidR="001D40FB" w:rsidRPr="00D874A1" w:rsidRDefault="002A2E0E" w:rsidP="00D874A1">
      <w:pPr>
        <w:pStyle w:val="ad"/>
        <w:numPr>
          <w:ilvl w:val="0"/>
          <w:numId w:val="1"/>
        </w:numPr>
        <w:spacing w:after="180" w:line="360" w:lineRule="auto"/>
        <w:ind w:left="510" w:hanging="567"/>
        <w:contextualSpacing w:val="0"/>
        <w:jc w:val="both"/>
        <w:rPr>
          <w:rFonts w:ascii="Arial" w:hAnsi="Arial"/>
          <w:noProof w:val="0"/>
        </w:rPr>
      </w:pPr>
      <w:r w:rsidRPr="00D874A1">
        <w:rPr>
          <w:rFonts w:ascii="Arial" w:hAnsi="Arial" w:hint="cs"/>
          <w:noProof w:val="0"/>
          <w:rtl/>
        </w:rPr>
        <w:t xml:space="preserve">הסיטואציה בעניין </w:t>
      </w:r>
      <w:r w:rsidRPr="00D874A1">
        <w:rPr>
          <w:rFonts w:ascii="Arial" w:hAnsi="Arial" w:hint="cs"/>
          <w:b/>
          <w:bCs/>
          <w:noProof w:val="0"/>
          <w:rtl/>
        </w:rPr>
        <w:t>נקר</w:t>
      </w:r>
      <w:r w:rsidRPr="00D874A1">
        <w:rPr>
          <w:rFonts w:ascii="Arial" w:hAnsi="Arial" w:hint="cs"/>
          <w:noProof w:val="0"/>
          <w:rtl/>
        </w:rPr>
        <w:t xml:space="preserve"> הי</w:t>
      </w:r>
      <w:r w:rsidR="00D874A1">
        <w:rPr>
          <w:rFonts w:ascii="Arial" w:hAnsi="Arial" w:hint="cs"/>
          <w:noProof w:val="0"/>
          <w:rtl/>
        </w:rPr>
        <w:t>יתה</w:t>
      </w:r>
      <w:r w:rsidRPr="00D874A1">
        <w:rPr>
          <w:rFonts w:ascii="Arial" w:hAnsi="Arial" w:hint="cs"/>
          <w:noProof w:val="0"/>
          <w:rtl/>
        </w:rPr>
        <w:t xml:space="preserve"> של נישום אשר בנה </w:t>
      </w:r>
      <w:r w:rsidR="00D874A1">
        <w:rPr>
          <w:rFonts w:ascii="Arial" w:hAnsi="Arial" w:hint="cs"/>
          <w:noProof w:val="0"/>
          <w:rtl/>
        </w:rPr>
        <w:t>בניה ללא היתר שאינה תואמת תכנית</w:t>
      </w:r>
      <w:r w:rsidRPr="00D874A1">
        <w:rPr>
          <w:rFonts w:ascii="Arial" w:hAnsi="Arial" w:hint="cs"/>
          <w:noProof w:val="0"/>
          <w:rtl/>
        </w:rPr>
        <w:t xml:space="preserve"> </w:t>
      </w:r>
      <w:r w:rsidR="00D874A1">
        <w:rPr>
          <w:rFonts w:ascii="Arial" w:hAnsi="Arial" w:hint="cs"/>
          <w:noProof w:val="0"/>
          <w:rtl/>
        </w:rPr>
        <w:t>ו</w:t>
      </w:r>
      <w:r w:rsidRPr="00D874A1">
        <w:rPr>
          <w:rFonts w:ascii="Arial" w:hAnsi="Arial" w:hint="cs"/>
          <w:noProof w:val="0"/>
          <w:rtl/>
        </w:rPr>
        <w:t>לאחר מכן אושרה תכנית המאפשרת</w:t>
      </w:r>
      <w:r w:rsidR="00D874A1">
        <w:rPr>
          <w:rFonts w:ascii="Arial" w:hAnsi="Arial" w:hint="cs"/>
          <w:noProof w:val="0"/>
          <w:rtl/>
        </w:rPr>
        <w:t xml:space="preserve"> את הכשרת הבניה ללא היתר,</w:t>
      </w:r>
      <w:r w:rsidRPr="00D874A1">
        <w:rPr>
          <w:rFonts w:ascii="Arial" w:hAnsi="Arial" w:hint="cs"/>
          <w:noProof w:val="0"/>
          <w:rtl/>
        </w:rPr>
        <w:t xml:space="preserve"> ואכן הנישום הנפיק היתר בניה המכשיר את העבירה. מכאן, הוועדה המקומית טענה כי יש לחייב בהיטל השבחה מיום אישור התכנית</w:t>
      </w:r>
      <w:r w:rsidR="00D874A1" w:rsidRPr="00D874A1">
        <w:rPr>
          <w:rFonts w:ascii="Arial" w:hAnsi="Arial" w:hint="cs"/>
          <w:noProof w:val="0"/>
          <w:rtl/>
        </w:rPr>
        <w:t xml:space="preserve"> וזאת אף אם לא הוצא היתר בניה</w:t>
      </w:r>
      <w:r w:rsidRPr="00D874A1">
        <w:rPr>
          <w:rFonts w:ascii="Arial" w:hAnsi="Arial" w:hint="cs"/>
          <w:noProof w:val="0"/>
          <w:rtl/>
        </w:rPr>
        <w:t xml:space="preserve">, ואילו הנישום טען כי </w:t>
      </w:r>
      <w:r w:rsidR="00687CBB" w:rsidRPr="00D874A1">
        <w:rPr>
          <w:rFonts w:ascii="Arial" w:hAnsi="Arial" w:hint="cs"/>
          <w:noProof w:val="0"/>
          <w:rtl/>
        </w:rPr>
        <w:t>מועד המימוש הינו רק במועד הוצאת היתר בניה ל</w:t>
      </w:r>
      <w:r w:rsidR="00D874A1">
        <w:rPr>
          <w:rFonts w:ascii="Arial" w:hAnsi="Arial" w:hint="cs"/>
          <w:noProof w:val="0"/>
          <w:rtl/>
        </w:rPr>
        <w:t>עבירת הבניה</w:t>
      </w:r>
      <w:r w:rsidR="00687CBB" w:rsidRPr="00D874A1">
        <w:rPr>
          <w:rFonts w:ascii="Arial" w:hAnsi="Arial" w:hint="cs"/>
          <w:noProof w:val="0"/>
          <w:rtl/>
        </w:rPr>
        <w:t>.</w:t>
      </w:r>
    </w:p>
    <w:p w:rsidR="00687CBB" w:rsidRDefault="00687CBB" w:rsidP="00F81CF5">
      <w:pPr>
        <w:pStyle w:val="ad"/>
        <w:spacing w:after="180" w:line="360" w:lineRule="auto"/>
        <w:ind w:left="510"/>
        <w:contextualSpacing w:val="0"/>
        <w:jc w:val="both"/>
        <w:rPr>
          <w:rFonts w:ascii="Arial" w:hAnsi="Arial"/>
          <w:noProof w:val="0"/>
          <w:rtl/>
        </w:rPr>
      </w:pPr>
      <w:r>
        <w:rPr>
          <w:rFonts w:ascii="Arial" w:hAnsi="Arial" w:hint="cs"/>
          <w:noProof w:val="0"/>
          <w:rtl/>
        </w:rPr>
        <w:t xml:space="preserve">הנימוק </w:t>
      </w:r>
      <w:r w:rsidR="00D874A1">
        <w:rPr>
          <w:rFonts w:ascii="Arial" w:hAnsi="Arial" w:hint="cs"/>
          <w:noProof w:val="0"/>
          <w:rtl/>
        </w:rPr>
        <w:t xml:space="preserve">הנורמטיבי </w:t>
      </w:r>
      <w:r>
        <w:rPr>
          <w:rFonts w:ascii="Arial" w:hAnsi="Arial" w:hint="cs"/>
          <w:noProof w:val="0"/>
          <w:rtl/>
        </w:rPr>
        <w:t xml:space="preserve">המרכזי של הוועדה המקומית בעניין </w:t>
      </w:r>
      <w:r w:rsidRPr="00687CBB">
        <w:rPr>
          <w:rFonts w:ascii="Arial" w:hAnsi="Arial" w:hint="cs"/>
          <w:b/>
          <w:bCs/>
          <w:noProof w:val="0"/>
          <w:rtl/>
        </w:rPr>
        <w:t>נקר</w:t>
      </w:r>
      <w:r>
        <w:rPr>
          <w:rFonts w:ascii="Arial" w:hAnsi="Arial" w:hint="cs"/>
          <w:noProof w:val="0"/>
          <w:rtl/>
        </w:rPr>
        <w:t xml:space="preserve"> לעיל</w:t>
      </w:r>
      <w:r w:rsidR="00BC766B">
        <w:rPr>
          <w:rFonts w:ascii="Arial" w:hAnsi="Arial" w:hint="cs"/>
          <w:noProof w:val="0"/>
          <w:rtl/>
        </w:rPr>
        <w:t xml:space="preserve"> לחיוב הנישום בהיטל השבחה</w:t>
      </w:r>
      <w:r w:rsidR="00FA5F17">
        <w:rPr>
          <w:rFonts w:ascii="Arial" w:hAnsi="Arial" w:hint="cs"/>
          <w:noProof w:val="0"/>
          <w:rtl/>
        </w:rPr>
        <w:t xml:space="preserve"> </w:t>
      </w:r>
      <w:r w:rsidR="00D874A1">
        <w:rPr>
          <w:rFonts w:ascii="Arial" w:hAnsi="Arial" w:hint="cs"/>
          <w:noProof w:val="0"/>
          <w:rtl/>
        </w:rPr>
        <w:t xml:space="preserve">לאחור </w:t>
      </w:r>
      <w:r w:rsidR="00FA5F17">
        <w:rPr>
          <w:rFonts w:ascii="Arial" w:hAnsi="Arial" w:hint="cs"/>
          <w:noProof w:val="0"/>
          <w:rtl/>
        </w:rPr>
        <w:t>מיום אישור התכנית</w:t>
      </w:r>
      <w:r w:rsidR="00D874A1">
        <w:rPr>
          <w:rFonts w:ascii="Arial" w:hAnsi="Arial" w:hint="cs"/>
          <w:noProof w:val="0"/>
          <w:rtl/>
        </w:rPr>
        <w:t xml:space="preserve"> ולא מיום ההיתר</w:t>
      </w:r>
      <w:r>
        <w:rPr>
          <w:rFonts w:ascii="Arial" w:hAnsi="Arial" w:hint="cs"/>
          <w:noProof w:val="0"/>
          <w:rtl/>
        </w:rPr>
        <w:t xml:space="preserve">, היה </w:t>
      </w:r>
      <w:r w:rsidR="00BC766B">
        <w:rPr>
          <w:rFonts w:ascii="Arial" w:hAnsi="Arial" w:hint="cs"/>
          <w:noProof w:val="0"/>
          <w:rtl/>
        </w:rPr>
        <w:t>דומה לנימוק של המשיבה כאן, והוא</w:t>
      </w:r>
      <w:r w:rsidR="00F81CF5">
        <w:rPr>
          <w:rFonts w:ascii="Arial" w:hAnsi="Arial" w:hint="cs"/>
          <w:noProof w:val="0"/>
          <w:rtl/>
        </w:rPr>
        <w:t xml:space="preserve">, </w:t>
      </w:r>
      <w:r>
        <w:rPr>
          <w:rFonts w:ascii="Arial" w:hAnsi="Arial" w:hint="cs"/>
          <w:noProof w:val="0"/>
          <w:rtl/>
        </w:rPr>
        <w:t>כי קבלת פרשנות הנישום מובילה למצב בו יוצא החוטא נשכר, ומכאן לעידוד עבריינות בניה.</w:t>
      </w:r>
    </w:p>
    <w:p w:rsidR="00687CBB" w:rsidRDefault="00B35D3B" w:rsidP="00396E24">
      <w:pPr>
        <w:pStyle w:val="ad"/>
        <w:numPr>
          <w:ilvl w:val="0"/>
          <w:numId w:val="1"/>
        </w:numPr>
        <w:spacing w:after="180" w:line="360" w:lineRule="auto"/>
        <w:ind w:left="510" w:hanging="567"/>
        <w:contextualSpacing w:val="0"/>
        <w:jc w:val="both"/>
        <w:rPr>
          <w:rFonts w:ascii="Arial" w:hAnsi="Arial"/>
          <w:noProof w:val="0"/>
        </w:rPr>
      </w:pPr>
      <w:r w:rsidRPr="00B35D3B">
        <w:rPr>
          <w:rFonts w:ascii="Arial" w:hAnsi="Arial" w:hint="cs"/>
          <w:noProof w:val="0"/>
          <w:rtl/>
        </w:rPr>
        <w:t>בית המשפט העליון</w:t>
      </w:r>
      <w:r w:rsidR="00396E24">
        <w:rPr>
          <w:rFonts w:ascii="Arial" w:hAnsi="Arial" w:hint="cs"/>
          <w:noProof w:val="0"/>
          <w:rtl/>
        </w:rPr>
        <w:t xml:space="preserve"> בעניין </w:t>
      </w:r>
      <w:r w:rsidR="00396E24" w:rsidRPr="00396E24">
        <w:rPr>
          <w:rFonts w:ascii="Arial" w:hAnsi="Arial" w:hint="cs"/>
          <w:b/>
          <w:bCs/>
          <w:noProof w:val="0"/>
          <w:rtl/>
        </w:rPr>
        <w:t>נקר</w:t>
      </w:r>
      <w:r w:rsidR="00396E24">
        <w:rPr>
          <w:rFonts w:ascii="Arial" w:hAnsi="Arial" w:hint="cs"/>
          <w:noProof w:val="0"/>
          <w:rtl/>
        </w:rPr>
        <w:t xml:space="preserve"> לעיל </w:t>
      </w:r>
      <w:r w:rsidRPr="00B35D3B">
        <w:rPr>
          <w:rFonts w:ascii="Arial" w:hAnsi="Arial" w:hint="cs"/>
          <w:noProof w:val="0"/>
          <w:rtl/>
        </w:rPr>
        <w:t>מגיע למסקנה</w:t>
      </w:r>
      <w:r w:rsidR="00BC766B">
        <w:rPr>
          <w:rFonts w:ascii="Arial" w:hAnsi="Arial" w:hint="cs"/>
          <w:noProof w:val="0"/>
          <w:rtl/>
        </w:rPr>
        <w:t>,</w:t>
      </w:r>
      <w:r w:rsidRPr="00B35D3B">
        <w:rPr>
          <w:rFonts w:ascii="Arial" w:hAnsi="Arial" w:hint="cs"/>
          <w:noProof w:val="0"/>
          <w:rtl/>
        </w:rPr>
        <w:t xml:space="preserve"> כי הפרשנות המילולית של ההגדרה תומכת בגישת הנישום, אך יכולה להחיל גם את גישת הוועדה המקומית, ומכאן פונה </w:t>
      </w:r>
      <w:r w:rsidR="00396E24">
        <w:rPr>
          <w:rFonts w:ascii="Arial" w:hAnsi="Arial" w:hint="cs"/>
          <w:noProof w:val="0"/>
          <w:rtl/>
        </w:rPr>
        <w:t xml:space="preserve">בית המשפט העליון </w:t>
      </w:r>
      <w:r w:rsidRPr="00B35D3B">
        <w:rPr>
          <w:rFonts w:ascii="Arial" w:hAnsi="Arial" w:hint="cs"/>
          <w:noProof w:val="0"/>
          <w:rtl/>
        </w:rPr>
        <w:t xml:space="preserve">לשיקולי </w:t>
      </w:r>
      <w:r w:rsidRPr="00BC766B">
        <w:rPr>
          <w:rFonts w:ascii="Arial" w:hAnsi="Arial" w:hint="cs"/>
          <w:b/>
          <w:bCs/>
          <w:noProof w:val="0"/>
          <w:rtl/>
        </w:rPr>
        <w:t>המדיניות</w:t>
      </w:r>
      <w:r w:rsidRPr="00B35D3B">
        <w:rPr>
          <w:rFonts w:ascii="Arial" w:hAnsi="Arial" w:hint="cs"/>
          <w:noProof w:val="0"/>
          <w:rtl/>
        </w:rPr>
        <w:t xml:space="preserve"> </w:t>
      </w:r>
      <w:r w:rsidR="00396E24">
        <w:rPr>
          <w:rFonts w:ascii="Arial" w:hAnsi="Arial" w:hint="cs"/>
          <w:noProof w:val="0"/>
          <w:rtl/>
        </w:rPr>
        <w:t xml:space="preserve">שיש להחיל על הנושא, </w:t>
      </w:r>
      <w:r w:rsidRPr="00B35D3B">
        <w:rPr>
          <w:rFonts w:ascii="Arial" w:hAnsi="Arial" w:hint="cs"/>
          <w:noProof w:val="0"/>
          <w:rtl/>
        </w:rPr>
        <w:t xml:space="preserve">ובראשם </w:t>
      </w:r>
      <w:r w:rsidRPr="00B35D3B">
        <w:rPr>
          <w:rFonts w:ascii="Arial" w:hAnsi="Arial" w:hint="cs"/>
          <w:b/>
          <w:bCs/>
          <w:noProof w:val="0"/>
          <w:rtl/>
        </w:rPr>
        <w:t>'</w:t>
      </w:r>
      <w:r w:rsidRPr="00B35D3B">
        <w:rPr>
          <w:rFonts w:ascii="Arial" w:hAnsi="Arial"/>
          <w:b/>
          <w:bCs/>
          <w:noProof w:val="0"/>
          <w:rtl/>
        </w:rPr>
        <w:t>שיקולים הנוגעים לאכיפה של דיני התכנון והבניה</w:t>
      </w:r>
      <w:r w:rsidRPr="00B35D3B">
        <w:rPr>
          <w:rFonts w:ascii="Arial" w:hAnsi="Arial" w:hint="cs"/>
          <w:b/>
          <w:bCs/>
          <w:noProof w:val="0"/>
          <w:rtl/>
        </w:rPr>
        <w:t>'</w:t>
      </w:r>
      <w:r>
        <w:rPr>
          <w:rFonts w:ascii="Arial" w:hAnsi="Arial" w:hint="cs"/>
          <w:noProof w:val="0"/>
          <w:rtl/>
        </w:rPr>
        <w:t>.</w:t>
      </w:r>
      <w:r w:rsidRPr="00B35D3B">
        <w:rPr>
          <w:rFonts w:ascii="Arial" w:hAnsi="Arial" w:hint="cs"/>
          <w:noProof w:val="0"/>
          <w:rtl/>
        </w:rPr>
        <w:t xml:space="preserve"> </w:t>
      </w:r>
    </w:p>
    <w:p w:rsidR="00786674" w:rsidRDefault="00BC766B" w:rsidP="00BC766B">
      <w:pPr>
        <w:pStyle w:val="ad"/>
        <w:spacing w:after="180" w:line="360" w:lineRule="auto"/>
        <w:ind w:left="510"/>
        <w:contextualSpacing w:val="0"/>
        <w:jc w:val="both"/>
        <w:rPr>
          <w:rFonts w:ascii="Arial" w:hAnsi="Arial"/>
          <w:noProof w:val="0"/>
          <w:rtl/>
        </w:rPr>
      </w:pPr>
      <w:r>
        <w:rPr>
          <w:rFonts w:ascii="Arial" w:hAnsi="Arial" w:hint="cs"/>
          <w:noProof w:val="0"/>
          <w:rtl/>
        </w:rPr>
        <w:lastRenderedPageBreak/>
        <w:t xml:space="preserve">במסגרת שיקולי המדיניות, </w:t>
      </w:r>
      <w:r w:rsidR="00786674">
        <w:rPr>
          <w:rFonts w:ascii="Arial" w:hAnsi="Arial" w:hint="cs"/>
          <w:noProof w:val="0"/>
          <w:rtl/>
        </w:rPr>
        <w:t>מצד אחד, בית המשפט העליון מקבל את גישת הוועדה המקומית, כי גביית היטל ההשבחה מיום התכנית ולא מיום ההיתר יש בה לקדם את המאבק בעבריינות הבניה, כך שחיוב הנישום בתשלום ריבית פיגורים רק מיום אישור ההיתר, מקנה לו תמריץ שלא להנפ</w:t>
      </w:r>
      <w:r w:rsidR="0031428B">
        <w:rPr>
          <w:rFonts w:ascii="Arial" w:hAnsi="Arial" w:hint="cs"/>
          <w:noProof w:val="0"/>
          <w:rtl/>
        </w:rPr>
        <w:t>יק היתר ושלא להסדיר את הבניה. כמו כן, ראוי כי הנישום יישלם היטל השבחה מיד עם תחילת הנאתו מההתעשרות.</w:t>
      </w:r>
    </w:p>
    <w:p w:rsidR="0031428B" w:rsidRDefault="0031428B" w:rsidP="00786674">
      <w:pPr>
        <w:pStyle w:val="ad"/>
        <w:spacing w:after="180" w:line="360" w:lineRule="auto"/>
        <w:ind w:left="510"/>
        <w:contextualSpacing w:val="0"/>
        <w:jc w:val="both"/>
        <w:rPr>
          <w:rFonts w:ascii="Arial" w:hAnsi="Arial"/>
          <w:noProof w:val="0"/>
        </w:rPr>
      </w:pPr>
      <w:r>
        <w:rPr>
          <w:rFonts w:ascii="Arial" w:hAnsi="Arial" w:hint="cs"/>
          <w:noProof w:val="0"/>
          <w:rtl/>
        </w:rPr>
        <w:t>מצד שני, מונה בית המשפט העליון שורה של שיקולי מדיניות נגדיים, אשר גוברים</w:t>
      </w:r>
      <w:r w:rsidR="00396E24">
        <w:rPr>
          <w:rFonts w:ascii="Arial" w:hAnsi="Arial" w:hint="cs"/>
          <w:noProof w:val="0"/>
          <w:rtl/>
        </w:rPr>
        <w:t xml:space="preserve"> על</w:t>
      </w:r>
      <w:r>
        <w:rPr>
          <w:rFonts w:ascii="Arial" w:hAnsi="Arial" w:hint="cs"/>
          <w:noProof w:val="0"/>
          <w:rtl/>
        </w:rPr>
        <w:t xml:space="preserve"> האינטרס האמור לעיל. שיקולים אלו </w:t>
      </w:r>
      <w:r w:rsidRPr="00396E24">
        <w:rPr>
          <w:rFonts w:ascii="Arial" w:hAnsi="Arial" w:hint="cs"/>
          <w:b/>
          <w:bCs/>
          <w:noProof w:val="0"/>
          <w:rtl/>
        </w:rPr>
        <w:t>רלוונטיים וישימים</w:t>
      </w:r>
      <w:r>
        <w:rPr>
          <w:rFonts w:ascii="Arial" w:hAnsi="Arial" w:hint="cs"/>
          <w:noProof w:val="0"/>
          <w:rtl/>
        </w:rPr>
        <w:t xml:space="preserve"> גם למקרה שלפניי, ולאור חשיבות הנושא אסקור שיקולים אלו, ואבחן התאמתם למקרה שלפניי.</w:t>
      </w:r>
    </w:p>
    <w:p w:rsidR="00B35D3B" w:rsidRDefault="0031428B" w:rsidP="00B35D3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השיקול הראשון שמונה בית המשפט </w:t>
      </w:r>
      <w:r w:rsidR="00A94272">
        <w:rPr>
          <w:rFonts w:ascii="Arial" w:hAnsi="Arial" w:hint="cs"/>
          <w:noProof w:val="0"/>
          <w:rtl/>
        </w:rPr>
        <w:t xml:space="preserve">בעניין </w:t>
      </w:r>
      <w:r w:rsidR="00A94272" w:rsidRPr="00A94272">
        <w:rPr>
          <w:rFonts w:ascii="Arial" w:hAnsi="Arial" w:hint="cs"/>
          <w:b/>
          <w:bCs/>
          <w:noProof w:val="0"/>
          <w:rtl/>
        </w:rPr>
        <w:t>נקר</w:t>
      </w:r>
      <w:r w:rsidR="00A94272">
        <w:rPr>
          <w:rFonts w:ascii="Arial" w:hAnsi="Arial" w:hint="cs"/>
          <w:noProof w:val="0"/>
          <w:rtl/>
        </w:rPr>
        <w:t xml:space="preserve"> </w:t>
      </w:r>
      <w:r>
        <w:rPr>
          <w:rFonts w:ascii="Arial" w:hAnsi="Arial" w:hint="cs"/>
          <w:noProof w:val="0"/>
          <w:rtl/>
        </w:rPr>
        <w:t>הינו:</w:t>
      </w:r>
    </w:p>
    <w:p w:rsidR="0031428B" w:rsidRPr="0031428B" w:rsidRDefault="0031428B" w:rsidP="0031428B">
      <w:pPr>
        <w:pStyle w:val="ad"/>
        <w:spacing w:after="180" w:line="360" w:lineRule="auto"/>
        <w:ind w:left="1077" w:right="284"/>
        <w:contextualSpacing w:val="0"/>
        <w:jc w:val="both"/>
        <w:rPr>
          <w:rFonts w:ascii="Arial" w:hAnsi="Arial"/>
          <w:b/>
          <w:bCs/>
          <w:noProof w:val="0"/>
          <w:rtl/>
        </w:rPr>
      </w:pPr>
      <w:r w:rsidRPr="0031428B">
        <w:rPr>
          <w:rFonts w:ascii="Arial" w:hAnsi="Arial" w:hint="cs"/>
          <w:b/>
          <w:bCs/>
          <w:noProof w:val="0"/>
          <w:rtl/>
        </w:rPr>
        <w:t>"</w:t>
      </w:r>
      <w:r w:rsidRPr="0031428B">
        <w:rPr>
          <w:rFonts w:ascii="Arial" w:hAnsi="Arial"/>
          <w:b/>
          <w:bCs/>
          <w:noProof w:val="0"/>
          <w:rtl/>
        </w:rPr>
        <w:t>למעשה, הכרה בכוחה של הוועדה המקומית לעמוד על תשלום של היטל השבחה אף קודם להוצאת ההיתר עלולה לפגוע במידה מסוימת בתמריץ הכלכלי של הרשויות להבטיח כי ייעשו כל המאמצים למילוי חובותיהן לאכיפתם של דיני התכנון והבניה.</w:t>
      </w:r>
      <w:r w:rsidRPr="0031428B">
        <w:rPr>
          <w:rFonts w:ascii="Arial" w:hAnsi="Arial" w:hint="cs"/>
          <w:b/>
          <w:bCs/>
          <w:noProof w:val="0"/>
          <w:rtl/>
        </w:rPr>
        <w:t>"</w:t>
      </w:r>
    </w:p>
    <w:p w:rsidR="00A94272" w:rsidRDefault="00BC766B" w:rsidP="00BC766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שיקול זה ישים גם למקרה שלפניי. כך, </w:t>
      </w:r>
      <w:r w:rsidR="0031428B">
        <w:rPr>
          <w:rFonts w:ascii="Arial" w:hAnsi="Arial" w:hint="cs"/>
          <w:noProof w:val="0"/>
          <w:rtl/>
        </w:rPr>
        <w:t>עצם האפשרות של הוועדה המקומית להוציא היתר בניה רטרואק</w:t>
      </w:r>
      <w:r w:rsidR="00A94272">
        <w:rPr>
          <w:rFonts w:ascii="Arial" w:hAnsi="Arial" w:hint="cs"/>
          <w:noProof w:val="0"/>
          <w:rtl/>
        </w:rPr>
        <w:t>טיבי ולחייב בגי</w:t>
      </w:r>
      <w:r>
        <w:rPr>
          <w:rFonts w:ascii="Arial" w:hAnsi="Arial" w:hint="cs"/>
          <w:noProof w:val="0"/>
          <w:rtl/>
        </w:rPr>
        <w:t>ן תקופה רטרואקטיבית זו</w:t>
      </w:r>
      <w:r w:rsidR="00A94272">
        <w:rPr>
          <w:rFonts w:ascii="Arial" w:hAnsi="Arial" w:hint="cs"/>
          <w:noProof w:val="0"/>
          <w:rtl/>
        </w:rPr>
        <w:t xml:space="preserve"> בהיטל השבחה, מהווה תמריץ שלילי </w:t>
      </w:r>
      <w:r>
        <w:rPr>
          <w:rFonts w:ascii="Arial" w:hAnsi="Arial" w:hint="cs"/>
          <w:noProof w:val="0"/>
          <w:rtl/>
        </w:rPr>
        <w:t xml:space="preserve">למשיבה </w:t>
      </w:r>
      <w:r w:rsidR="00A94272">
        <w:rPr>
          <w:rFonts w:ascii="Arial" w:hAnsi="Arial" w:hint="cs"/>
          <w:noProof w:val="0"/>
          <w:rtl/>
        </w:rPr>
        <w:t>לפעול לאכיפת דיני התכנון והבניה בזמן אמת.</w:t>
      </w:r>
    </w:p>
    <w:p w:rsidR="00A94272" w:rsidRDefault="00A94272" w:rsidP="0031428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השיקול השני הינו:</w:t>
      </w:r>
    </w:p>
    <w:p w:rsidR="00A94272" w:rsidRPr="00A94272" w:rsidRDefault="00A94272" w:rsidP="00A94272">
      <w:pPr>
        <w:pStyle w:val="ad"/>
        <w:spacing w:after="180" w:line="360" w:lineRule="auto"/>
        <w:ind w:left="1219" w:right="426"/>
        <w:contextualSpacing w:val="0"/>
        <w:jc w:val="both"/>
        <w:rPr>
          <w:rFonts w:ascii="Arial" w:hAnsi="Arial"/>
          <w:b/>
          <w:bCs/>
          <w:noProof w:val="0"/>
        </w:rPr>
      </w:pPr>
      <w:r w:rsidRPr="00A94272">
        <w:rPr>
          <w:rFonts w:ascii="Arial" w:hAnsi="Arial" w:hint="cs"/>
          <w:b/>
          <w:bCs/>
          <w:noProof w:val="0"/>
          <w:rtl/>
        </w:rPr>
        <w:t>"י</w:t>
      </w:r>
      <w:r w:rsidRPr="00A94272">
        <w:rPr>
          <w:rFonts w:ascii="Arial" w:hAnsi="Arial"/>
          <w:b/>
          <w:bCs/>
          <w:noProof w:val="0"/>
          <w:rtl/>
        </w:rPr>
        <w:t>תרה מכך: גבייתו של היטל השבחה בנסיבות שבהן לא הוצא היתר עלולה להתפרש כמתן הכשר לשימוש או לבניה שנעשו שלא כדין. בדרך זו, הוועדה המקומית משלימה לכאורה עם המעשה העשוי, מבלי שבחנה את התאמתו של השימוש למבנה ולתכנית הרלוונטית, כפי שנעשה ברגיל בעת בחינת הבקשה להיתר.</w:t>
      </w:r>
      <w:r>
        <w:rPr>
          <w:rFonts w:ascii="Arial" w:hAnsi="Arial" w:hint="cs"/>
          <w:b/>
          <w:bCs/>
          <w:noProof w:val="0"/>
          <w:rtl/>
        </w:rPr>
        <w:t>"</w:t>
      </w:r>
    </w:p>
    <w:p w:rsidR="00D745DB" w:rsidRDefault="00A94272" w:rsidP="00396E24">
      <w:pPr>
        <w:pStyle w:val="ad"/>
        <w:spacing w:after="180" w:line="360" w:lineRule="auto"/>
        <w:ind w:left="510"/>
        <w:contextualSpacing w:val="0"/>
        <w:jc w:val="both"/>
        <w:rPr>
          <w:rFonts w:ascii="Arial" w:hAnsi="Arial"/>
          <w:noProof w:val="0"/>
          <w:rtl/>
        </w:rPr>
      </w:pPr>
      <w:r>
        <w:rPr>
          <w:rFonts w:ascii="Arial" w:hAnsi="Arial" w:hint="cs"/>
          <w:noProof w:val="0"/>
          <w:rtl/>
        </w:rPr>
        <w:t>שיקול זה מקבל אף משנה תוקף במקרה שלפניי. לא רק שגביית היטל ההשבחה "עלולה" להתפרש כמתן הכשר לשימוש שלא כדין,</w:t>
      </w:r>
      <w:r w:rsidR="00D745DB">
        <w:rPr>
          <w:rFonts w:ascii="Arial" w:hAnsi="Arial" w:hint="cs"/>
          <w:noProof w:val="0"/>
          <w:rtl/>
        </w:rPr>
        <w:t xml:space="preserve"> כפי שמזהיר בצדק בית המשפט העליון,</w:t>
      </w:r>
      <w:r w:rsidR="00396E24">
        <w:rPr>
          <w:rFonts w:ascii="Arial" w:hAnsi="Arial" w:hint="cs"/>
          <w:noProof w:val="0"/>
          <w:rtl/>
        </w:rPr>
        <w:t xml:space="preserve"> </w:t>
      </w:r>
      <w:r>
        <w:rPr>
          <w:rFonts w:ascii="Arial" w:hAnsi="Arial" w:hint="cs"/>
          <w:noProof w:val="0"/>
          <w:rtl/>
        </w:rPr>
        <w:t>אלא שהוועדה המקומית הגדילה לעשות</w:t>
      </w:r>
      <w:r w:rsidR="00D745DB">
        <w:rPr>
          <w:rFonts w:ascii="Arial" w:hAnsi="Arial" w:hint="cs"/>
          <w:noProof w:val="0"/>
          <w:rtl/>
        </w:rPr>
        <w:t xml:space="preserve"> כאן</w:t>
      </w:r>
      <w:r>
        <w:rPr>
          <w:rFonts w:ascii="Arial" w:hAnsi="Arial" w:hint="cs"/>
          <w:noProof w:val="0"/>
          <w:rtl/>
        </w:rPr>
        <w:t xml:space="preserve"> והכשירה </w:t>
      </w:r>
      <w:r w:rsidRPr="00D745DB">
        <w:rPr>
          <w:rFonts w:ascii="Arial" w:hAnsi="Arial" w:hint="cs"/>
          <w:b/>
          <w:bCs/>
          <w:noProof w:val="0"/>
          <w:rtl/>
        </w:rPr>
        <w:t>בפועל</w:t>
      </w:r>
      <w:r>
        <w:rPr>
          <w:rFonts w:ascii="Arial" w:hAnsi="Arial" w:hint="cs"/>
          <w:noProof w:val="0"/>
          <w:rtl/>
        </w:rPr>
        <w:t xml:space="preserve"> את השימוש שלא כדין.</w:t>
      </w:r>
    </w:p>
    <w:p w:rsidR="00A94272" w:rsidRDefault="00A94272" w:rsidP="00D745DB">
      <w:pPr>
        <w:pStyle w:val="ad"/>
        <w:spacing w:after="180" w:line="360" w:lineRule="auto"/>
        <w:ind w:left="510"/>
        <w:contextualSpacing w:val="0"/>
        <w:jc w:val="both"/>
        <w:rPr>
          <w:rFonts w:ascii="Arial" w:hAnsi="Arial"/>
          <w:noProof w:val="0"/>
        </w:rPr>
      </w:pPr>
      <w:r>
        <w:rPr>
          <w:rFonts w:ascii="Arial" w:hAnsi="Arial" w:hint="cs"/>
          <w:noProof w:val="0"/>
          <w:rtl/>
        </w:rPr>
        <w:t>כלומר, הוועדה המקומית במקרה שלפניי, לא רק שהשלימה עם המעשה העשוי</w:t>
      </w:r>
      <w:r w:rsidR="00D745DB">
        <w:rPr>
          <w:rFonts w:ascii="Arial" w:hAnsi="Arial" w:hint="cs"/>
          <w:noProof w:val="0"/>
          <w:rtl/>
        </w:rPr>
        <w:t>,</w:t>
      </w:r>
      <w:r>
        <w:rPr>
          <w:rFonts w:ascii="Arial" w:hAnsi="Arial" w:hint="cs"/>
          <w:noProof w:val="0"/>
          <w:rtl/>
        </w:rPr>
        <w:t xml:space="preserve"> אלא הכשירה אותו בפועל</w:t>
      </w:r>
      <w:r w:rsidR="00D745DB">
        <w:rPr>
          <w:rFonts w:ascii="Arial" w:hAnsi="Arial" w:hint="cs"/>
          <w:noProof w:val="0"/>
          <w:rtl/>
        </w:rPr>
        <w:t>,</w:t>
      </w:r>
      <w:r>
        <w:rPr>
          <w:rFonts w:ascii="Arial" w:hAnsi="Arial" w:hint="cs"/>
          <w:noProof w:val="0"/>
          <w:rtl/>
        </w:rPr>
        <w:t xml:space="preserve"> וזאת רק על מנת לגבות היטל השבחה רטרואקטיבי.</w:t>
      </w:r>
    </w:p>
    <w:p w:rsidR="00A94272" w:rsidRDefault="00A94272" w:rsidP="00A94272">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lastRenderedPageBreak/>
        <w:t xml:space="preserve">השיקול השלישי </w:t>
      </w:r>
      <w:r w:rsidR="00234CA8">
        <w:rPr>
          <w:rFonts w:ascii="Arial" w:hAnsi="Arial" w:hint="cs"/>
          <w:noProof w:val="0"/>
          <w:rtl/>
        </w:rPr>
        <w:t xml:space="preserve">בפסק הדין </w:t>
      </w:r>
      <w:r w:rsidR="00234CA8" w:rsidRPr="00234CA8">
        <w:rPr>
          <w:rFonts w:ascii="Arial" w:hAnsi="Arial" w:hint="cs"/>
          <w:b/>
          <w:bCs/>
          <w:noProof w:val="0"/>
          <w:rtl/>
        </w:rPr>
        <w:t>נקר</w:t>
      </w:r>
      <w:r w:rsidR="00234CA8">
        <w:rPr>
          <w:rFonts w:ascii="Arial" w:hAnsi="Arial" w:hint="cs"/>
          <w:noProof w:val="0"/>
          <w:rtl/>
        </w:rPr>
        <w:t xml:space="preserve"> </w:t>
      </w:r>
      <w:r>
        <w:rPr>
          <w:rFonts w:ascii="Arial" w:hAnsi="Arial" w:hint="cs"/>
          <w:noProof w:val="0"/>
          <w:rtl/>
        </w:rPr>
        <w:t>הינו:</w:t>
      </w:r>
    </w:p>
    <w:p w:rsidR="00A94272" w:rsidRPr="00234CA8" w:rsidRDefault="00A94272" w:rsidP="00B45594">
      <w:pPr>
        <w:pStyle w:val="ad"/>
        <w:spacing w:after="180" w:line="360" w:lineRule="auto"/>
        <w:ind w:left="1219" w:right="426"/>
        <w:contextualSpacing w:val="0"/>
        <w:jc w:val="both"/>
        <w:rPr>
          <w:rFonts w:ascii="Arial" w:hAnsi="Arial"/>
          <w:b/>
          <w:bCs/>
          <w:noProof w:val="0"/>
        </w:rPr>
      </w:pPr>
      <w:r w:rsidRPr="00234CA8">
        <w:rPr>
          <w:rFonts w:ascii="Arial" w:hAnsi="Arial" w:hint="cs"/>
          <w:b/>
          <w:bCs/>
          <w:noProof w:val="0"/>
          <w:rtl/>
        </w:rPr>
        <w:t>"</w:t>
      </w:r>
      <w:r w:rsidRPr="00234CA8">
        <w:rPr>
          <w:rFonts w:ascii="Arial" w:hAnsi="Arial"/>
          <w:b/>
          <w:bCs/>
          <w:noProof w:val="0"/>
          <w:rtl/>
        </w:rPr>
        <w:t>כמו כן, בניגוד לטענותיהם של הוועדה המקומית והיועץ, יש בהסדרים הקונקרטיים במישור הפלילי והמנהלי כדי לתת מענה לצורך בצמצום עבריינות בניה וכן למנוע מצב של "חוטא יוצא נשכר". בהקשר זה, יש לציין כי לרשויות התכנון ניתנו סמכויות אכיפה נרחבות המעוגנות בפרק י' לחוק שעניינו "פיקוח, אכיפה ועונשין" (שנוסף במסגרת חוק התכנון והבניה (תיקון מס' 116), התשע"ז-2017). בכלל זאת, ניתנו לגורמים המוסמכים ברשויות התכנון הכלים להוצאת צווים מינהליים שונים, בגדרם ניתן להורות, בין היתר, על הפסקת עבודה או שימוש אסורים וכן על הריסת בניה אסורה (ראו סעיפים 220-216 לחוק). בדרך זו, בידי רשויות התכנון לאלץ את עבריין הבניה להגיש תכנית מתאימה או לבקש היתר, כנדרש בנסיבות העניין, ובעקבות כך להוביל למימוש זכויותיו ולהשתכללות החובה לשלם את היטל ההשבחה.</w:t>
      </w:r>
      <w:r w:rsidRPr="00234CA8">
        <w:rPr>
          <w:rFonts w:ascii="Arial" w:hAnsi="Arial" w:hint="cs"/>
          <w:b/>
          <w:bCs/>
          <w:noProof w:val="0"/>
          <w:rtl/>
        </w:rPr>
        <w:t>"</w:t>
      </w:r>
    </w:p>
    <w:p w:rsidR="001D40FB" w:rsidRDefault="00234CA8" w:rsidP="00396E24">
      <w:pPr>
        <w:pStyle w:val="ad"/>
        <w:spacing w:after="180" w:line="360" w:lineRule="auto"/>
        <w:ind w:left="510"/>
        <w:contextualSpacing w:val="0"/>
        <w:jc w:val="both"/>
        <w:rPr>
          <w:rFonts w:ascii="Arial" w:hAnsi="Arial"/>
          <w:noProof w:val="0"/>
        </w:rPr>
      </w:pPr>
      <w:r>
        <w:rPr>
          <w:rFonts w:ascii="Arial" w:hAnsi="Arial" w:hint="cs"/>
          <w:noProof w:val="0"/>
          <w:rtl/>
        </w:rPr>
        <w:t>כפי שציינתי לעיל, שיקול זה אף הוא ישים לענייננו, כאשר המשיבה יכולה הייתה</w:t>
      </w:r>
      <w:r w:rsidR="00D745DB">
        <w:rPr>
          <w:rFonts w:ascii="Arial" w:hAnsi="Arial" w:hint="cs"/>
          <w:noProof w:val="0"/>
          <w:rtl/>
        </w:rPr>
        <w:t>,</w:t>
      </w:r>
      <w:r>
        <w:rPr>
          <w:rFonts w:ascii="Arial" w:hAnsi="Arial" w:hint="cs"/>
          <w:noProof w:val="0"/>
          <w:rtl/>
        </w:rPr>
        <w:t xml:space="preserve"> וצריכה הייתה</w:t>
      </w:r>
      <w:r w:rsidR="00D745DB">
        <w:rPr>
          <w:rFonts w:ascii="Arial" w:hAnsi="Arial" w:hint="cs"/>
          <w:noProof w:val="0"/>
          <w:rtl/>
        </w:rPr>
        <w:t xml:space="preserve">, </w:t>
      </w:r>
      <w:r>
        <w:rPr>
          <w:rFonts w:ascii="Arial" w:hAnsi="Arial" w:hint="cs"/>
          <w:noProof w:val="0"/>
          <w:rtl/>
        </w:rPr>
        <w:t>לנקוט באמצעים העומדים לרשותה כנגד עבריינ</w:t>
      </w:r>
      <w:r w:rsidR="00D745DB">
        <w:rPr>
          <w:rFonts w:ascii="Arial" w:hAnsi="Arial" w:hint="cs"/>
          <w:noProof w:val="0"/>
          <w:rtl/>
        </w:rPr>
        <w:t xml:space="preserve">י הבניה לשיטתה </w:t>
      </w:r>
      <w:r w:rsidR="00396E24">
        <w:rPr>
          <w:rFonts w:ascii="Arial" w:hAnsi="Arial" w:hint="cs"/>
          <w:noProof w:val="0"/>
          <w:rtl/>
        </w:rPr>
        <w:t xml:space="preserve">וזאת </w:t>
      </w:r>
      <w:r w:rsidR="00D745DB">
        <w:rPr>
          <w:rFonts w:ascii="Arial" w:hAnsi="Arial" w:hint="cs"/>
          <w:noProof w:val="0"/>
          <w:rtl/>
        </w:rPr>
        <w:t>חלף הכשרת העבירה</w:t>
      </w:r>
      <w:r w:rsidR="00396E24">
        <w:rPr>
          <w:rFonts w:ascii="Arial" w:hAnsi="Arial" w:hint="cs"/>
          <w:noProof w:val="0"/>
          <w:rtl/>
        </w:rPr>
        <w:t>.</w:t>
      </w:r>
      <w:r w:rsidR="00D745DB">
        <w:rPr>
          <w:rFonts w:ascii="Arial" w:hAnsi="Arial" w:hint="cs"/>
          <w:noProof w:val="0"/>
          <w:rtl/>
        </w:rPr>
        <w:t xml:space="preserve"> בפרט</w:t>
      </w:r>
      <w:r w:rsidR="00396E24">
        <w:rPr>
          <w:rFonts w:ascii="Arial" w:hAnsi="Arial" w:hint="cs"/>
          <w:noProof w:val="0"/>
          <w:rtl/>
        </w:rPr>
        <w:t xml:space="preserve"> היה על המשיבה</w:t>
      </w:r>
      <w:r w:rsidR="00D745DB">
        <w:rPr>
          <w:rFonts w:ascii="Arial" w:hAnsi="Arial" w:hint="cs"/>
          <w:noProof w:val="0"/>
          <w:rtl/>
        </w:rPr>
        <w:t xml:space="preserve"> לגבות מעבריינים אלו, לא רק את היטל ההשבחה, אלא את מלוא האגרות וההיטלים וכן קנס ראוי. </w:t>
      </w:r>
    </w:p>
    <w:p w:rsidR="00234CA8" w:rsidRDefault="00234CA8" w:rsidP="00234CA8">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השיקול הרביעי בפסק הדין </w:t>
      </w:r>
      <w:r w:rsidRPr="00F41613">
        <w:rPr>
          <w:rFonts w:ascii="Arial" w:hAnsi="Arial" w:hint="cs"/>
          <w:b/>
          <w:bCs/>
          <w:noProof w:val="0"/>
          <w:rtl/>
        </w:rPr>
        <w:t>נקר</w:t>
      </w:r>
      <w:r>
        <w:rPr>
          <w:rFonts w:ascii="Arial" w:hAnsi="Arial" w:hint="cs"/>
          <w:noProof w:val="0"/>
          <w:rtl/>
        </w:rPr>
        <w:t xml:space="preserve"> לעיל, הינו:</w:t>
      </w:r>
    </w:p>
    <w:p w:rsidR="00234CA8" w:rsidRPr="00234CA8" w:rsidRDefault="00234CA8" w:rsidP="00B45594">
      <w:pPr>
        <w:pStyle w:val="ad"/>
        <w:spacing w:after="180" w:line="360" w:lineRule="auto"/>
        <w:ind w:left="1219" w:right="426"/>
        <w:contextualSpacing w:val="0"/>
        <w:jc w:val="both"/>
        <w:rPr>
          <w:rFonts w:ascii="Arial" w:hAnsi="Arial"/>
          <w:b/>
          <w:bCs/>
          <w:noProof w:val="0"/>
          <w:rtl/>
        </w:rPr>
      </w:pPr>
      <w:r w:rsidRPr="00234CA8">
        <w:rPr>
          <w:rFonts w:ascii="Arial" w:hAnsi="Arial" w:hint="cs"/>
          <w:b/>
          <w:bCs/>
          <w:noProof w:val="0"/>
          <w:rtl/>
        </w:rPr>
        <w:t>"</w:t>
      </w:r>
      <w:r w:rsidRPr="00234CA8">
        <w:rPr>
          <w:rFonts w:ascii="Arial" w:hAnsi="Arial"/>
          <w:b/>
          <w:bCs/>
          <w:noProof w:val="0"/>
          <w:rtl/>
        </w:rPr>
        <w:t>כך נוסף מישור האכיפה הפלילי, המקנה לוועדה המקומית לתכנון ולבניה סמכויות להעמיד לדין עברייני בניה ולמצות בעניינם את העונשים הקבועים בדין. באופן קונקרטי ובזיקה לענייננו ראוי לעמוד על הוראות סעיף 254י(א) לחוק, שכותרתו "חיוב בתשלום אגרות ותשלומי חובה אחרים", המורה כך:</w:t>
      </w:r>
    </w:p>
    <w:p w:rsidR="00234CA8" w:rsidRPr="00234CA8" w:rsidRDefault="00234CA8" w:rsidP="00B45594">
      <w:pPr>
        <w:pStyle w:val="ad"/>
        <w:spacing w:after="180" w:line="360" w:lineRule="auto"/>
        <w:ind w:left="1219" w:right="426"/>
        <w:contextualSpacing w:val="0"/>
        <w:jc w:val="both"/>
        <w:rPr>
          <w:rFonts w:ascii="Arial" w:hAnsi="Arial"/>
          <w:b/>
          <w:bCs/>
          <w:noProof w:val="0"/>
          <w:rtl/>
        </w:rPr>
      </w:pPr>
      <w:r w:rsidRPr="00234CA8">
        <w:rPr>
          <w:rFonts w:ascii="Arial" w:hAnsi="Arial" w:hint="cs"/>
          <w:b/>
          <w:bCs/>
          <w:noProof w:val="0"/>
          <w:rtl/>
        </w:rPr>
        <w:t>"</w:t>
      </w:r>
      <w:r w:rsidRPr="00234CA8">
        <w:rPr>
          <w:rFonts w:ascii="Arial" w:hAnsi="Arial"/>
          <w:b/>
          <w:bCs/>
          <w:noProof w:val="0"/>
          <w:rtl/>
        </w:rPr>
        <w:t>"בית המשפט רשאי לצוות על מורשע בעבירות לפי סעיפים 243, 244 או 246 לשלם כל אגרה או תשלום חובה אחר, לרבות היטל השבחה, שהיה חייב בתשלומם לפי חוק זה אילו היה ניתן היתר לבנייה או לשימוש שבשלהם הורשע, ככל שלא שילם אותם קודם לכן;</w:t>
      </w:r>
    </w:p>
    <w:p w:rsidR="00234CA8" w:rsidRPr="00234CA8" w:rsidRDefault="00234CA8" w:rsidP="00B45594">
      <w:pPr>
        <w:pStyle w:val="ad"/>
        <w:spacing w:after="180" w:line="360" w:lineRule="auto"/>
        <w:ind w:left="1219" w:right="426"/>
        <w:contextualSpacing w:val="0"/>
        <w:jc w:val="both"/>
        <w:rPr>
          <w:rFonts w:ascii="Arial" w:hAnsi="Arial"/>
          <w:b/>
          <w:bCs/>
          <w:noProof w:val="0"/>
        </w:rPr>
      </w:pPr>
      <w:r w:rsidRPr="00234CA8">
        <w:rPr>
          <w:rFonts w:ascii="Arial" w:hAnsi="Arial"/>
          <w:b/>
          <w:bCs/>
          <w:noProof w:val="0"/>
          <w:rtl/>
        </w:rPr>
        <w:t>תשלומי חובה כאמור, למעט אגרות, יחושבו בהתחשב בתקופה שבה לא נהרסה העבודה האסורה או שבה נעשה השימוש האסור".</w:t>
      </w:r>
    </w:p>
    <w:p w:rsidR="00234CA8" w:rsidRDefault="00234CA8" w:rsidP="00F41613">
      <w:pPr>
        <w:pStyle w:val="ad"/>
        <w:spacing w:after="180" w:line="360" w:lineRule="auto"/>
        <w:ind w:left="510"/>
        <w:contextualSpacing w:val="0"/>
        <w:jc w:val="both"/>
        <w:rPr>
          <w:rFonts w:ascii="Arial" w:hAnsi="Arial"/>
          <w:noProof w:val="0"/>
          <w:rtl/>
        </w:rPr>
      </w:pPr>
      <w:r>
        <w:rPr>
          <w:rFonts w:ascii="Arial" w:hAnsi="Arial" w:hint="cs"/>
          <w:noProof w:val="0"/>
          <w:rtl/>
        </w:rPr>
        <w:t>ו</w:t>
      </w:r>
      <w:r w:rsidR="00F41613">
        <w:rPr>
          <w:rFonts w:ascii="Arial" w:hAnsi="Arial" w:hint="cs"/>
          <w:noProof w:val="0"/>
          <w:rtl/>
        </w:rPr>
        <w:t>מכאן</w:t>
      </w:r>
      <w:r>
        <w:rPr>
          <w:rFonts w:ascii="Arial" w:hAnsi="Arial" w:hint="cs"/>
          <w:noProof w:val="0"/>
          <w:rtl/>
        </w:rPr>
        <w:t>:</w:t>
      </w:r>
    </w:p>
    <w:p w:rsidR="00234CA8" w:rsidRPr="00234CA8" w:rsidRDefault="00234CA8" w:rsidP="00B45594">
      <w:pPr>
        <w:pStyle w:val="ad"/>
        <w:spacing w:after="180" w:line="360" w:lineRule="auto"/>
        <w:ind w:left="1219" w:right="426"/>
        <w:contextualSpacing w:val="0"/>
        <w:jc w:val="both"/>
        <w:rPr>
          <w:rFonts w:ascii="Arial" w:hAnsi="Arial"/>
          <w:b/>
          <w:bCs/>
          <w:noProof w:val="0"/>
          <w:rtl/>
        </w:rPr>
      </w:pPr>
      <w:r w:rsidRPr="00234CA8">
        <w:rPr>
          <w:rFonts w:ascii="Arial" w:hAnsi="Arial" w:hint="cs"/>
          <w:b/>
          <w:bCs/>
          <w:noProof w:val="0"/>
          <w:rtl/>
        </w:rPr>
        <w:lastRenderedPageBreak/>
        <w:t>"</w:t>
      </w:r>
      <w:r w:rsidRPr="00234CA8">
        <w:rPr>
          <w:rFonts w:ascii="Arial" w:hAnsi="Arial"/>
          <w:b/>
          <w:bCs/>
          <w:noProof w:val="0"/>
          <w:rtl/>
        </w:rPr>
        <w:t xml:space="preserve">משמעות הדברים היא אפוא כי במסגרת המסלול העונשי ניתן לדרוש </w:t>
      </w:r>
      <w:r w:rsidRPr="00234CA8">
        <w:rPr>
          <w:rFonts w:ascii="Arial" w:hAnsi="Arial"/>
          <w:b/>
          <w:bCs/>
          <w:noProof w:val="0"/>
          <w:u w:val="single"/>
          <w:rtl/>
        </w:rPr>
        <w:t>גם כי מי שהורשע בדין יחויב בהיטל ההשבחה שהיה מושת עליו אילו ניתן לו היתר</w:t>
      </w:r>
      <w:r w:rsidRPr="00234CA8">
        <w:rPr>
          <w:rFonts w:ascii="Arial" w:hAnsi="Arial"/>
          <w:b/>
          <w:bCs/>
          <w:noProof w:val="0"/>
          <w:rtl/>
        </w:rPr>
        <w:t xml:space="preserve"> (ראו: עניין גלמבוצקי, בעמ' 42). בדרך זו, מקנה מסלול האכיפה הפלילי אפשרות לרשויות התכנון להבטיח כי עבריין בניה אשר נמנע מהוצאת היתר כדין, ועל-ידי כך נהנה בפועל מפירותיה של התכנית המשביחה, </w:t>
      </w:r>
      <w:r w:rsidRPr="00F41613">
        <w:rPr>
          <w:rFonts w:ascii="Arial" w:hAnsi="Arial"/>
          <w:b/>
          <w:bCs/>
          <w:noProof w:val="0"/>
          <w:u w:val="single"/>
          <w:rtl/>
        </w:rPr>
        <w:t>יידרש לשלם את היטל ההשבחה המתאים</w:t>
      </w:r>
      <w:r w:rsidRPr="00234CA8">
        <w:rPr>
          <w:rFonts w:ascii="Arial" w:hAnsi="Arial"/>
          <w:b/>
          <w:bCs/>
          <w:noProof w:val="0"/>
          <w:rtl/>
        </w:rPr>
        <w:t xml:space="preserve">. במובן זה, מסייע הסעיף לרשויות להבטיח כי תושג אף התכלית החלוקתית המעוגנת בתוספת השלישית לחוק. ויודגש, תשלום זה עשוי </w:t>
      </w:r>
      <w:r w:rsidRPr="00F41613">
        <w:rPr>
          <w:rFonts w:ascii="Arial" w:hAnsi="Arial"/>
          <w:b/>
          <w:bCs/>
          <w:noProof w:val="0"/>
          <w:u w:val="single"/>
          <w:rtl/>
        </w:rPr>
        <w:t>להתווסף</w:t>
      </w:r>
      <w:r w:rsidRPr="00234CA8">
        <w:rPr>
          <w:rFonts w:ascii="Arial" w:hAnsi="Arial"/>
          <w:b/>
          <w:bCs/>
          <w:noProof w:val="0"/>
          <w:rtl/>
        </w:rPr>
        <w:t xml:space="preserve"> לקנסות שאותם רשאי בית המשפט להטיל על אדם שהורשע בדין בביצוע עבירות בניה ושימוש אסורים ואשר עשויים מטבעם לשרת תכליות נוספות, כגון הרתעה (כך למשל, סעיף 245(1) לחוק קובע כי בית המשפט רשאי להטיל קנס בגובה שיעור האגרות ותשלומי החובה שהוטלו לפי סעיף 254י, אף אם אלו כבר שולמו).</w:t>
      </w:r>
      <w:r w:rsidRPr="00234CA8">
        <w:rPr>
          <w:rFonts w:ascii="Arial" w:hAnsi="Arial" w:hint="cs"/>
          <w:b/>
          <w:bCs/>
          <w:noProof w:val="0"/>
          <w:rtl/>
        </w:rPr>
        <w:t>"</w:t>
      </w:r>
    </w:p>
    <w:p w:rsidR="00D745DB" w:rsidRDefault="00F41613" w:rsidP="00F41613">
      <w:pPr>
        <w:pStyle w:val="ad"/>
        <w:spacing w:after="180" w:line="360" w:lineRule="auto"/>
        <w:ind w:left="510"/>
        <w:contextualSpacing w:val="0"/>
        <w:jc w:val="both"/>
        <w:rPr>
          <w:rFonts w:ascii="Arial" w:hAnsi="Arial"/>
          <w:noProof w:val="0"/>
          <w:rtl/>
        </w:rPr>
      </w:pPr>
      <w:r>
        <w:rPr>
          <w:rFonts w:ascii="Arial" w:hAnsi="Arial" w:hint="cs"/>
          <w:noProof w:val="0"/>
          <w:rtl/>
        </w:rPr>
        <w:t>לטעמי, וכפי שפירטתי לעיל, שיקול זה הינו שיקול מרכזי לקבלת הער</w:t>
      </w:r>
      <w:r w:rsidR="00A34D4B">
        <w:rPr>
          <w:rFonts w:ascii="Arial" w:hAnsi="Arial" w:hint="cs"/>
          <w:noProof w:val="0"/>
          <w:rtl/>
        </w:rPr>
        <w:t>עור</w:t>
      </w:r>
      <w:r>
        <w:rPr>
          <w:rFonts w:ascii="Arial" w:hAnsi="Arial" w:hint="cs"/>
          <w:noProof w:val="0"/>
          <w:rtl/>
        </w:rPr>
        <w:t xml:space="preserve"> במקרה שלפניי, היות ושיקול זה מאיין לחלוטין את טענת "י</w:t>
      </w:r>
      <w:r w:rsidR="00A34D4B">
        <w:rPr>
          <w:rFonts w:ascii="Arial" w:hAnsi="Arial" w:hint="cs"/>
          <w:noProof w:val="0"/>
          <w:rtl/>
        </w:rPr>
        <w:t>הא</w:t>
      </w:r>
      <w:r>
        <w:rPr>
          <w:rFonts w:ascii="Arial" w:hAnsi="Arial" w:hint="cs"/>
          <w:noProof w:val="0"/>
          <w:rtl/>
        </w:rPr>
        <w:t xml:space="preserve"> חוטא נשכר"</w:t>
      </w:r>
      <w:r w:rsidR="00D745DB">
        <w:rPr>
          <w:rFonts w:ascii="Arial" w:hAnsi="Arial" w:hint="cs"/>
          <w:noProof w:val="0"/>
          <w:rtl/>
        </w:rPr>
        <w:t xml:space="preserve"> של המשיבה.</w:t>
      </w:r>
    </w:p>
    <w:p w:rsidR="00F41613" w:rsidRDefault="00F41613" w:rsidP="00396E24">
      <w:pPr>
        <w:pStyle w:val="ad"/>
        <w:spacing w:after="180" w:line="360" w:lineRule="auto"/>
        <w:ind w:left="510"/>
        <w:contextualSpacing w:val="0"/>
        <w:jc w:val="both"/>
        <w:rPr>
          <w:rFonts w:ascii="Arial" w:hAnsi="Arial"/>
          <w:noProof w:val="0"/>
        </w:rPr>
      </w:pPr>
      <w:r>
        <w:rPr>
          <w:rFonts w:ascii="Arial" w:hAnsi="Arial" w:hint="cs"/>
          <w:noProof w:val="0"/>
          <w:rtl/>
        </w:rPr>
        <w:t xml:space="preserve">הפעלת האכיפה הפלילית </w:t>
      </w:r>
      <w:r w:rsidR="00D745DB">
        <w:rPr>
          <w:rFonts w:ascii="Arial" w:hAnsi="Arial" w:hint="cs"/>
          <w:noProof w:val="0"/>
          <w:rtl/>
        </w:rPr>
        <w:t>בכלל, ו</w:t>
      </w:r>
      <w:r>
        <w:rPr>
          <w:rFonts w:ascii="Arial" w:hAnsi="Arial" w:hint="cs"/>
          <w:noProof w:val="0"/>
          <w:rtl/>
        </w:rPr>
        <w:t>הסעיפים המאפשרים גביית היטל השבחה מלא החל מיום התחלת השימוש החורג וזאת בנוסף לכל קנס אחר</w:t>
      </w:r>
      <w:r w:rsidR="00D745DB">
        <w:rPr>
          <w:rFonts w:ascii="Arial" w:hAnsi="Arial" w:hint="cs"/>
          <w:noProof w:val="0"/>
          <w:rtl/>
        </w:rPr>
        <w:t xml:space="preserve"> בפרט</w:t>
      </w:r>
      <w:r>
        <w:rPr>
          <w:rFonts w:ascii="Arial" w:hAnsi="Arial" w:hint="cs"/>
          <w:noProof w:val="0"/>
          <w:rtl/>
        </w:rPr>
        <w:t xml:space="preserve">, היא </w:t>
      </w:r>
      <w:r w:rsidR="00D745DB">
        <w:rPr>
          <w:rFonts w:ascii="Arial" w:hAnsi="Arial" w:hint="cs"/>
          <w:noProof w:val="0"/>
          <w:rtl/>
        </w:rPr>
        <w:t xml:space="preserve">זו </w:t>
      </w:r>
      <w:r>
        <w:rPr>
          <w:rFonts w:ascii="Arial" w:hAnsi="Arial" w:hint="cs"/>
          <w:noProof w:val="0"/>
          <w:rtl/>
        </w:rPr>
        <w:t>המבטיחה</w:t>
      </w:r>
      <w:r w:rsidR="00D745DB">
        <w:rPr>
          <w:rFonts w:ascii="Arial" w:hAnsi="Arial" w:hint="cs"/>
          <w:noProof w:val="0"/>
          <w:rtl/>
        </w:rPr>
        <w:t>,</w:t>
      </w:r>
      <w:r>
        <w:rPr>
          <w:rFonts w:ascii="Arial" w:hAnsi="Arial" w:hint="cs"/>
          <w:noProof w:val="0"/>
          <w:rtl/>
        </w:rPr>
        <w:t xml:space="preserve"> כי </w:t>
      </w:r>
      <w:r w:rsidR="00D745DB">
        <w:rPr>
          <w:rFonts w:ascii="Arial" w:hAnsi="Arial" w:hint="cs"/>
          <w:noProof w:val="0"/>
          <w:rtl/>
        </w:rPr>
        <w:t>מצד אחד</w:t>
      </w:r>
      <w:r w:rsidR="00396E24">
        <w:rPr>
          <w:rFonts w:ascii="Arial" w:hAnsi="Arial" w:hint="cs"/>
          <w:noProof w:val="0"/>
          <w:rtl/>
        </w:rPr>
        <w:t xml:space="preserve"> </w:t>
      </w:r>
      <w:r>
        <w:rPr>
          <w:rFonts w:ascii="Arial" w:hAnsi="Arial" w:hint="cs"/>
          <w:noProof w:val="0"/>
          <w:rtl/>
        </w:rPr>
        <w:t>למשיבה יינתן תמריץ ראוי לאכוף את חוקי התכנון והבניה</w:t>
      </w:r>
      <w:r w:rsidR="00D745DB">
        <w:rPr>
          <w:rFonts w:ascii="Arial" w:hAnsi="Arial" w:hint="cs"/>
          <w:noProof w:val="0"/>
          <w:rtl/>
        </w:rPr>
        <w:t>,</w:t>
      </w:r>
      <w:r>
        <w:rPr>
          <w:rFonts w:ascii="Arial" w:hAnsi="Arial" w:hint="cs"/>
          <w:noProof w:val="0"/>
          <w:rtl/>
        </w:rPr>
        <w:t xml:space="preserve"> ומצד שני, מייצרת הרתעה של האזרח מביצוע עבירת בניה.</w:t>
      </w:r>
    </w:p>
    <w:p w:rsidR="00F41613" w:rsidRDefault="00F41613" w:rsidP="00F41613">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לאור האמור לעיל, על אף שאני מקבל את עמדת ועדת הערר והמשיבה כי העובדות בפסק הדין בעניין </w:t>
      </w:r>
      <w:r w:rsidRPr="00F41613">
        <w:rPr>
          <w:rFonts w:ascii="Arial" w:hAnsi="Arial" w:hint="cs"/>
          <w:b/>
          <w:bCs/>
          <w:noProof w:val="0"/>
          <w:rtl/>
        </w:rPr>
        <w:t>נקר</w:t>
      </w:r>
      <w:r>
        <w:rPr>
          <w:rFonts w:ascii="Arial" w:hAnsi="Arial" w:hint="cs"/>
          <w:noProof w:val="0"/>
          <w:rtl/>
        </w:rPr>
        <w:t xml:space="preserve"> לעיל שונות</w:t>
      </w:r>
      <w:r w:rsidR="00D745DB">
        <w:rPr>
          <w:rFonts w:ascii="Arial" w:hAnsi="Arial" w:hint="cs"/>
          <w:noProof w:val="0"/>
          <w:rtl/>
        </w:rPr>
        <w:t xml:space="preserve"> מהמקרה שלפניי</w:t>
      </w:r>
      <w:r>
        <w:rPr>
          <w:rFonts w:ascii="Arial" w:hAnsi="Arial" w:hint="cs"/>
          <w:noProof w:val="0"/>
          <w:rtl/>
        </w:rPr>
        <w:t>, הרי הנמקת בית המשפט העליון בעניין שיקולי המדיניות ישימה ומתאימה באופן מוחלט למקרה שלפניי.</w:t>
      </w:r>
    </w:p>
    <w:p w:rsidR="009E07F0" w:rsidRDefault="00D745DB" w:rsidP="00BE73B8">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w:t>
      </w:r>
      <w:r w:rsidR="009E07F0">
        <w:rPr>
          <w:rFonts w:ascii="Arial" w:hAnsi="Arial" w:hint="cs"/>
          <w:noProof w:val="0"/>
          <w:rtl/>
        </w:rPr>
        <w:t>אור האמור לעיל</w:t>
      </w:r>
      <w:r w:rsidR="00BE73B8">
        <w:rPr>
          <w:rFonts w:ascii="Arial" w:hAnsi="Arial" w:hint="cs"/>
          <w:noProof w:val="0"/>
          <w:rtl/>
        </w:rPr>
        <w:t xml:space="preserve"> </w:t>
      </w:r>
      <w:r w:rsidR="009E07F0">
        <w:rPr>
          <w:rFonts w:ascii="Arial" w:hAnsi="Arial" w:hint="cs"/>
          <w:noProof w:val="0"/>
          <w:rtl/>
        </w:rPr>
        <w:t>אני סבור</w:t>
      </w:r>
      <w:r w:rsidR="00BE73B8">
        <w:rPr>
          <w:rFonts w:ascii="Arial" w:hAnsi="Arial" w:hint="cs"/>
          <w:noProof w:val="0"/>
          <w:rtl/>
        </w:rPr>
        <w:t>,</w:t>
      </w:r>
      <w:r w:rsidR="009E07F0">
        <w:rPr>
          <w:rFonts w:ascii="Arial" w:hAnsi="Arial" w:hint="cs"/>
          <w:noProof w:val="0"/>
          <w:rtl/>
        </w:rPr>
        <w:t xml:space="preserve"> שלא רק </w:t>
      </w:r>
      <w:r w:rsidR="00BE73B8">
        <w:rPr>
          <w:rFonts w:ascii="Arial" w:hAnsi="Arial" w:hint="cs"/>
          <w:noProof w:val="0"/>
          <w:rtl/>
        </w:rPr>
        <w:t>ש</w:t>
      </w:r>
      <w:r w:rsidR="009E07F0">
        <w:rPr>
          <w:rFonts w:ascii="Arial" w:hAnsi="Arial" w:hint="cs"/>
          <w:noProof w:val="0"/>
          <w:rtl/>
        </w:rPr>
        <w:t>עקרונות היסוד של דיני היטל ההשבחה אינם מאפשרים גביית היטל השבחה לתקופה שקדמה לאקט המשביח, אלא גם שיקולי המדיניות מובילים למסקנה זו.</w:t>
      </w:r>
    </w:p>
    <w:p w:rsidR="008D1599" w:rsidRDefault="009E07F0" w:rsidP="00D30495">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אציין כי לא נעלם מעיני, כי במקרה הספציפי הזה, </w:t>
      </w:r>
      <w:r w:rsidR="008D1599">
        <w:rPr>
          <w:rFonts w:ascii="Arial" w:hAnsi="Arial" w:hint="cs"/>
          <w:noProof w:val="0"/>
          <w:rtl/>
        </w:rPr>
        <w:t>קיים סיכוי</w:t>
      </w:r>
      <w:r>
        <w:rPr>
          <w:rFonts w:ascii="Arial" w:hAnsi="Arial" w:hint="cs"/>
          <w:noProof w:val="0"/>
          <w:rtl/>
        </w:rPr>
        <w:t xml:space="preserve"> </w:t>
      </w:r>
      <w:r w:rsidR="008D1599">
        <w:rPr>
          <w:rFonts w:ascii="Arial" w:hAnsi="Arial" w:hint="cs"/>
          <w:noProof w:val="0"/>
          <w:rtl/>
        </w:rPr>
        <w:t xml:space="preserve">שאכן </w:t>
      </w:r>
      <w:r>
        <w:rPr>
          <w:rFonts w:ascii="Arial" w:hAnsi="Arial" w:hint="cs"/>
          <w:noProof w:val="0"/>
          <w:rtl/>
        </w:rPr>
        <w:t>החוטא י</w:t>
      </w:r>
      <w:r w:rsidR="00C8612C">
        <w:rPr>
          <w:rFonts w:ascii="Arial" w:hAnsi="Arial" w:hint="cs"/>
          <w:noProof w:val="0"/>
          <w:rtl/>
        </w:rPr>
        <w:t>הא</w:t>
      </w:r>
      <w:r>
        <w:rPr>
          <w:rFonts w:ascii="Arial" w:hAnsi="Arial" w:hint="cs"/>
          <w:noProof w:val="0"/>
          <w:rtl/>
        </w:rPr>
        <w:t xml:space="preserve"> נשכר</w:t>
      </w:r>
      <w:r w:rsidR="00D30495">
        <w:rPr>
          <w:rFonts w:ascii="Arial" w:hAnsi="Arial" w:hint="cs"/>
          <w:noProof w:val="0"/>
          <w:rtl/>
        </w:rPr>
        <w:t xml:space="preserve">, </w:t>
      </w:r>
      <w:r>
        <w:rPr>
          <w:rFonts w:ascii="Arial" w:hAnsi="Arial" w:hint="cs"/>
          <w:noProof w:val="0"/>
          <w:rtl/>
        </w:rPr>
        <w:t>כך שהמערערות</w:t>
      </w:r>
      <w:r w:rsidR="00D30495">
        <w:rPr>
          <w:rFonts w:ascii="Arial" w:hAnsi="Arial" w:hint="cs"/>
          <w:noProof w:val="0"/>
          <w:rtl/>
        </w:rPr>
        <w:t>,</w:t>
      </w:r>
      <w:r>
        <w:rPr>
          <w:rFonts w:ascii="Arial" w:hAnsi="Arial" w:hint="cs"/>
          <w:noProof w:val="0"/>
          <w:rtl/>
        </w:rPr>
        <w:t xml:space="preserve"> או מי טעמן, נהנו מהשימוש החורג בעבר ללא היתר וללא תשלום היטל השבחה.</w:t>
      </w:r>
      <w:r w:rsidR="008D1599">
        <w:rPr>
          <w:rFonts w:ascii="Arial" w:hAnsi="Arial" w:hint="cs"/>
          <w:noProof w:val="0"/>
          <w:rtl/>
        </w:rPr>
        <w:t xml:space="preserve"> התשובה לכך כפולה.</w:t>
      </w:r>
    </w:p>
    <w:p w:rsidR="009E07F0" w:rsidRDefault="008D1599" w:rsidP="008D1599">
      <w:pPr>
        <w:pStyle w:val="ad"/>
        <w:spacing w:after="180" w:line="360" w:lineRule="auto"/>
        <w:ind w:left="510"/>
        <w:contextualSpacing w:val="0"/>
        <w:jc w:val="both"/>
        <w:rPr>
          <w:rFonts w:ascii="Arial" w:hAnsi="Arial"/>
          <w:noProof w:val="0"/>
        </w:rPr>
      </w:pPr>
      <w:r>
        <w:rPr>
          <w:rFonts w:ascii="Arial" w:hAnsi="Arial" w:hint="cs"/>
          <w:noProof w:val="0"/>
          <w:rtl/>
        </w:rPr>
        <w:lastRenderedPageBreak/>
        <w:t xml:space="preserve">ראשית, </w:t>
      </w:r>
      <w:r w:rsidR="009E07F0">
        <w:rPr>
          <w:rFonts w:ascii="Arial" w:hAnsi="Arial" w:hint="cs"/>
          <w:noProof w:val="0"/>
          <w:rtl/>
        </w:rPr>
        <w:t xml:space="preserve">כאשר אנו עוסקים בענייני מדיניות ופרשנות, יש להביא בחשבון לא רק את האינטרס הישיר של הצדדים </w:t>
      </w:r>
      <w:r>
        <w:rPr>
          <w:rFonts w:ascii="Arial" w:hAnsi="Arial" w:hint="cs"/>
          <w:noProof w:val="0"/>
          <w:rtl/>
        </w:rPr>
        <w:t xml:space="preserve">הספציפיים </w:t>
      </w:r>
      <w:r w:rsidR="009E07F0">
        <w:rPr>
          <w:rFonts w:ascii="Arial" w:hAnsi="Arial" w:hint="cs"/>
          <w:noProof w:val="0"/>
          <w:rtl/>
        </w:rPr>
        <w:t xml:space="preserve">להליך, אלא את ההשפעה </w:t>
      </w:r>
      <w:r>
        <w:rPr>
          <w:rFonts w:ascii="Arial" w:hAnsi="Arial" w:hint="cs"/>
          <w:noProof w:val="0"/>
          <w:rtl/>
        </w:rPr>
        <w:t xml:space="preserve">של הפרשנות </w:t>
      </w:r>
      <w:r w:rsidR="009E07F0">
        <w:rPr>
          <w:rFonts w:ascii="Arial" w:hAnsi="Arial" w:hint="cs"/>
          <w:noProof w:val="0"/>
          <w:rtl/>
        </w:rPr>
        <w:t>על</w:t>
      </w:r>
      <w:r>
        <w:rPr>
          <w:rFonts w:ascii="Arial" w:hAnsi="Arial" w:hint="cs"/>
          <w:noProof w:val="0"/>
          <w:rtl/>
        </w:rPr>
        <w:t xml:space="preserve"> כלל הציבור,</w:t>
      </w:r>
      <w:r w:rsidR="009E07F0">
        <w:rPr>
          <w:rFonts w:ascii="Arial" w:hAnsi="Arial" w:hint="cs"/>
          <w:noProof w:val="0"/>
          <w:rtl/>
        </w:rPr>
        <w:t xml:space="preserve"> ר' </w:t>
      </w:r>
      <w:r w:rsidR="009E07F0" w:rsidRPr="009E07F0">
        <w:rPr>
          <w:rFonts w:ascii="Arial" w:hAnsi="Arial"/>
          <w:noProof w:val="0"/>
          <w:rtl/>
        </w:rPr>
        <w:t>ת</w:t>
      </w:r>
      <w:r w:rsidR="009E07F0">
        <w:rPr>
          <w:rFonts w:ascii="Arial" w:hAnsi="Arial" w:hint="cs"/>
          <w:noProof w:val="0"/>
          <w:rtl/>
        </w:rPr>
        <w:t>"</w:t>
      </w:r>
      <w:r w:rsidR="009E07F0" w:rsidRPr="009E07F0">
        <w:rPr>
          <w:rFonts w:ascii="Arial" w:hAnsi="Arial"/>
          <w:noProof w:val="0"/>
          <w:rtl/>
        </w:rPr>
        <w:t xml:space="preserve">א (הרצ') 38541-08-17‏ </w:t>
      </w:r>
      <w:r w:rsidR="009E07F0" w:rsidRPr="00F44FA0">
        <w:rPr>
          <w:rFonts w:ascii="Arial" w:hAnsi="Arial"/>
          <w:b/>
          <w:bCs/>
          <w:noProof w:val="0"/>
          <w:rtl/>
        </w:rPr>
        <w:t>סקס סטייל בע"מ נ' יניב אבוטבול</w:t>
      </w:r>
      <w:r w:rsidR="009E07F0">
        <w:rPr>
          <w:rFonts w:ascii="Arial" w:hAnsi="Arial" w:hint="cs"/>
          <w:noProof w:val="0"/>
          <w:rtl/>
        </w:rPr>
        <w:t xml:space="preserve"> [פורסם במאגר נבו] (7.8.2018): </w:t>
      </w:r>
    </w:p>
    <w:p w:rsidR="009E07F0" w:rsidRPr="009E07F0" w:rsidRDefault="00F44FA0" w:rsidP="00B45594">
      <w:pPr>
        <w:pStyle w:val="ad"/>
        <w:spacing w:after="180" w:line="360" w:lineRule="auto"/>
        <w:ind w:left="1219" w:right="426"/>
        <w:contextualSpacing w:val="0"/>
        <w:jc w:val="both"/>
        <w:rPr>
          <w:rFonts w:ascii="Arial" w:hAnsi="Arial"/>
          <w:b/>
          <w:bCs/>
          <w:noProof w:val="0"/>
        </w:rPr>
      </w:pPr>
      <w:r>
        <w:rPr>
          <w:rFonts w:ascii="David" w:hAnsi="David" w:hint="cs"/>
          <w:b/>
          <w:bCs/>
          <w:color w:val="000000"/>
          <w:rtl/>
        </w:rPr>
        <w:t>"</w:t>
      </w:r>
      <w:r w:rsidR="009E07F0" w:rsidRPr="00B45594">
        <w:rPr>
          <w:rFonts w:ascii="Arial" w:hAnsi="Arial"/>
          <w:b/>
          <w:bCs/>
          <w:noProof w:val="0"/>
          <w:rtl/>
        </w:rPr>
        <w:t>אכן</w:t>
      </w:r>
      <w:r w:rsidR="009E07F0" w:rsidRPr="009E07F0">
        <w:rPr>
          <w:rFonts w:ascii="David" w:hAnsi="David"/>
          <w:b/>
          <w:bCs/>
          <w:color w:val="000000"/>
          <w:rtl/>
        </w:rPr>
        <w:t>, נכון הדבר שבמקרה הפרטני הזה 'מרוויח' הנתבע. אולם, כאשר בית המשפט שוקל שיקול פרשני לא רק התוצאה הפרטנית כלפי הצדדים הספציפיים שלפניו נשקלת על ידו, אלא שעליו להביא בחשבון גם תכלית החקיקה ועקרונות היסוד של השיטה ומכאן השפעת הפרשנות הניתנת על כלל הציבור</w:t>
      </w:r>
      <w:r w:rsidR="009E07F0" w:rsidRPr="009E07F0">
        <w:rPr>
          <w:rFonts w:ascii="David" w:hAnsi="David"/>
          <w:b/>
          <w:bCs/>
          <w:color w:val="000000"/>
        </w:rPr>
        <w:t>.</w:t>
      </w:r>
      <w:r>
        <w:rPr>
          <w:rFonts w:ascii="David" w:hAnsi="David" w:hint="cs"/>
          <w:b/>
          <w:bCs/>
          <w:color w:val="000000"/>
          <w:rtl/>
        </w:rPr>
        <w:t>"</w:t>
      </w:r>
    </w:p>
    <w:p w:rsidR="008D1599" w:rsidRDefault="008D1599" w:rsidP="00BE73B8">
      <w:pPr>
        <w:pStyle w:val="ad"/>
        <w:spacing w:after="180" w:line="360" w:lineRule="auto"/>
        <w:ind w:left="510"/>
        <w:contextualSpacing w:val="0"/>
        <w:jc w:val="both"/>
        <w:rPr>
          <w:rFonts w:ascii="Arial" w:hAnsi="Arial"/>
          <w:noProof w:val="0"/>
          <w:rtl/>
        </w:rPr>
      </w:pPr>
      <w:r>
        <w:rPr>
          <w:rFonts w:ascii="Arial" w:hAnsi="Arial" w:hint="cs"/>
          <w:noProof w:val="0"/>
          <w:rtl/>
        </w:rPr>
        <w:t>שנית, כלל לא ברור כי אכן נסתם הגולל על גביית היטל ההשבחה במקרה הספציפי הזה. מבלי לקבוע מסמרות בנושא, ייתכן, ואיני מחווה דעה בעניין, כי עדיין ניתן לבטל את היתר השימוש החורג לתקופת העבר, ומכאן לנקוט בהליכים המתאימים כנגד האחראים</w:t>
      </w:r>
      <w:r w:rsidR="00BE73B8">
        <w:rPr>
          <w:rFonts w:ascii="Arial" w:hAnsi="Arial" w:hint="cs"/>
          <w:noProof w:val="0"/>
          <w:rtl/>
        </w:rPr>
        <w:t xml:space="preserve"> והנהנים מעבירת הבנייה</w:t>
      </w:r>
      <w:r>
        <w:rPr>
          <w:rFonts w:ascii="Arial" w:hAnsi="Arial" w:hint="cs"/>
          <w:noProof w:val="0"/>
          <w:rtl/>
        </w:rPr>
        <w:t>, לרבות גביית ההיטלים, האגרות והטלת קנסות.</w:t>
      </w:r>
    </w:p>
    <w:p w:rsidR="008D1599" w:rsidRPr="008D1599" w:rsidRDefault="008D1599" w:rsidP="0052163F">
      <w:pPr>
        <w:spacing w:after="180" w:line="360" w:lineRule="auto"/>
        <w:jc w:val="both"/>
        <w:rPr>
          <w:rFonts w:ascii="Arial" w:hAnsi="Arial"/>
          <w:b/>
          <w:bCs/>
          <w:noProof w:val="0"/>
          <w:u w:val="single"/>
        </w:rPr>
      </w:pPr>
      <w:r w:rsidRPr="008D1599">
        <w:rPr>
          <w:rFonts w:ascii="Arial" w:hAnsi="Arial" w:hint="cs"/>
          <w:b/>
          <w:bCs/>
          <w:noProof w:val="0"/>
          <w:u w:val="single"/>
          <w:rtl/>
        </w:rPr>
        <w:t xml:space="preserve">פסיקה </w:t>
      </w:r>
      <w:r w:rsidR="0052163F">
        <w:rPr>
          <w:rFonts w:ascii="Arial" w:hAnsi="Arial" w:hint="cs"/>
          <w:b/>
          <w:bCs/>
          <w:noProof w:val="0"/>
          <w:u w:val="single"/>
          <w:rtl/>
        </w:rPr>
        <w:t>נוספת  בעניין</w:t>
      </w:r>
      <w:r w:rsidRPr="008D1599">
        <w:rPr>
          <w:rFonts w:ascii="Arial" w:hAnsi="Arial" w:hint="cs"/>
          <w:b/>
          <w:bCs/>
          <w:noProof w:val="0"/>
          <w:u w:val="single"/>
          <w:rtl/>
        </w:rPr>
        <w:t xml:space="preserve"> גביי</w:t>
      </w:r>
      <w:r w:rsidR="00BE73B8">
        <w:rPr>
          <w:rFonts w:ascii="Arial" w:hAnsi="Arial" w:hint="cs"/>
          <w:b/>
          <w:bCs/>
          <w:noProof w:val="0"/>
          <w:u w:val="single"/>
          <w:rtl/>
        </w:rPr>
        <w:t>ת</w:t>
      </w:r>
      <w:r w:rsidRPr="008D1599">
        <w:rPr>
          <w:rFonts w:ascii="Arial" w:hAnsi="Arial" w:hint="cs"/>
          <w:b/>
          <w:bCs/>
          <w:noProof w:val="0"/>
          <w:u w:val="single"/>
          <w:rtl/>
        </w:rPr>
        <w:t xml:space="preserve"> היטל השבחה לתקופת העבר</w:t>
      </w:r>
    </w:p>
    <w:p w:rsidR="00D745DB" w:rsidRDefault="00872DBA" w:rsidP="0052163F">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ה</w:t>
      </w:r>
      <w:r w:rsidR="00F44FA0">
        <w:rPr>
          <w:rFonts w:ascii="Arial" w:hAnsi="Arial" w:hint="cs"/>
          <w:noProof w:val="0"/>
          <w:rtl/>
        </w:rPr>
        <w:t xml:space="preserve">גישה </w:t>
      </w:r>
      <w:r>
        <w:rPr>
          <w:rFonts w:ascii="Arial" w:hAnsi="Arial" w:hint="cs"/>
          <w:noProof w:val="0"/>
          <w:rtl/>
        </w:rPr>
        <w:t>המפורטת לעיל</w:t>
      </w:r>
      <w:r w:rsidR="00F44FA0">
        <w:rPr>
          <w:rFonts w:ascii="Arial" w:hAnsi="Arial" w:hint="cs"/>
          <w:noProof w:val="0"/>
          <w:rtl/>
        </w:rPr>
        <w:t xml:space="preserve">, </w:t>
      </w:r>
      <w:r>
        <w:rPr>
          <w:rFonts w:ascii="Arial" w:hAnsi="Arial" w:hint="cs"/>
          <w:noProof w:val="0"/>
          <w:rtl/>
        </w:rPr>
        <w:t>אשר גורסת כי</w:t>
      </w:r>
      <w:r w:rsidR="00F44FA0">
        <w:rPr>
          <w:rFonts w:ascii="Arial" w:hAnsi="Arial" w:hint="cs"/>
          <w:noProof w:val="0"/>
          <w:rtl/>
        </w:rPr>
        <w:t xml:space="preserve"> אין מקום לגבות היטל השבחה בגין תקופת עבר במסלול היטל ההשבחה</w:t>
      </w:r>
      <w:r w:rsidR="0052163F">
        <w:rPr>
          <w:rFonts w:ascii="Arial" w:hAnsi="Arial" w:hint="cs"/>
          <w:noProof w:val="0"/>
          <w:rtl/>
        </w:rPr>
        <w:t xml:space="preserve">, </w:t>
      </w:r>
      <w:r w:rsidR="00F44FA0">
        <w:rPr>
          <w:rFonts w:ascii="Arial" w:hAnsi="Arial" w:hint="cs"/>
          <w:noProof w:val="0"/>
          <w:rtl/>
        </w:rPr>
        <w:t xml:space="preserve">להבדיל ממסלול האכיפה, מצאה ביטויה בפסיקה </w:t>
      </w:r>
      <w:r w:rsidR="0052163F">
        <w:rPr>
          <w:rFonts w:ascii="Arial" w:hAnsi="Arial" w:hint="cs"/>
          <w:noProof w:val="0"/>
          <w:rtl/>
        </w:rPr>
        <w:t xml:space="preserve">נוספת </w:t>
      </w:r>
      <w:r w:rsidR="00F44FA0">
        <w:rPr>
          <w:rFonts w:ascii="Arial" w:hAnsi="Arial" w:hint="cs"/>
          <w:noProof w:val="0"/>
          <w:rtl/>
        </w:rPr>
        <w:t>בעבר</w:t>
      </w:r>
      <w:r>
        <w:rPr>
          <w:rFonts w:ascii="Arial" w:hAnsi="Arial" w:hint="cs"/>
          <w:noProof w:val="0"/>
          <w:rtl/>
        </w:rPr>
        <w:t>, ואפרט בקצרה</w:t>
      </w:r>
      <w:r w:rsidR="00F44FA0">
        <w:rPr>
          <w:rFonts w:ascii="Arial" w:hAnsi="Arial" w:hint="cs"/>
          <w:noProof w:val="0"/>
          <w:rtl/>
        </w:rPr>
        <w:t>.</w:t>
      </w:r>
    </w:p>
    <w:p w:rsidR="00000DA9" w:rsidRDefault="00991E74" w:rsidP="00B45594">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בעניין </w:t>
      </w:r>
      <w:r w:rsidRPr="00000DA9">
        <w:rPr>
          <w:rFonts w:ascii="Arial" w:hAnsi="Arial" w:hint="cs"/>
          <w:b/>
          <w:bCs/>
          <w:noProof w:val="0"/>
          <w:rtl/>
        </w:rPr>
        <w:t>גלמב</w:t>
      </w:r>
      <w:r w:rsidR="00000DA9" w:rsidRPr="00000DA9">
        <w:rPr>
          <w:rFonts w:ascii="Arial" w:hAnsi="Arial" w:hint="cs"/>
          <w:b/>
          <w:bCs/>
          <w:noProof w:val="0"/>
          <w:rtl/>
        </w:rPr>
        <w:t>וצ</w:t>
      </w:r>
      <w:r w:rsidRPr="00000DA9">
        <w:rPr>
          <w:rFonts w:ascii="Arial" w:hAnsi="Arial" w:hint="cs"/>
          <w:b/>
          <w:bCs/>
          <w:noProof w:val="0"/>
          <w:rtl/>
        </w:rPr>
        <w:t>קי</w:t>
      </w:r>
      <w:r w:rsidR="00000DA9">
        <w:rPr>
          <w:rFonts w:ascii="Arial" w:hAnsi="Arial" w:hint="cs"/>
          <w:noProof w:val="0"/>
          <w:rtl/>
        </w:rPr>
        <w:t xml:space="preserve"> </w:t>
      </w:r>
      <w:r w:rsidR="00872DBA">
        <w:rPr>
          <w:rFonts w:ascii="Arial" w:hAnsi="Arial" w:hint="cs"/>
          <w:noProof w:val="0"/>
          <w:rtl/>
        </w:rPr>
        <w:t xml:space="preserve">לעיל, </w:t>
      </w:r>
      <w:r w:rsidR="00000DA9">
        <w:rPr>
          <w:rFonts w:ascii="Arial" w:hAnsi="Arial" w:hint="cs"/>
          <w:noProof w:val="0"/>
          <w:rtl/>
        </w:rPr>
        <w:t xml:space="preserve">נדונה סוגיה דומה של חיוב היטל השבחה בגין תקופת העבר. באותו המקרה לא הייתה מחלוקת כי אכן בוצע שימוש חורג </w:t>
      </w:r>
      <w:r w:rsidR="0052163F">
        <w:rPr>
          <w:rFonts w:ascii="Arial" w:hAnsi="Arial" w:hint="cs"/>
          <w:noProof w:val="0"/>
          <w:rtl/>
        </w:rPr>
        <w:t xml:space="preserve">בעבר </w:t>
      </w:r>
      <w:r w:rsidR="00000DA9">
        <w:rPr>
          <w:rFonts w:ascii="Arial" w:hAnsi="Arial" w:hint="cs"/>
          <w:noProof w:val="0"/>
          <w:rtl/>
        </w:rPr>
        <w:t>ללא היתר לשימוש חורג. הוועדה המקומית שם טענה, כי לאור עיקרון "</w:t>
      </w:r>
      <w:r w:rsidR="00C8612C">
        <w:rPr>
          <w:rFonts w:ascii="Arial" w:hAnsi="Arial" w:hint="cs"/>
          <w:noProof w:val="0"/>
          <w:rtl/>
        </w:rPr>
        <w:t xml:space="preserve">לא יהא </w:t>
      </w:r>
      <w:r w:rsidR="00000DA9">
        <w:rPr>
          <w:rFonts w:ascii="Arial" w:hAnsi="Arial" w:hint="cs"/>
          <w:noProof w:val="0"/>
          <w:rtl/>
        </w:rPr>
        <w:t>חוטא נשכר" יש לחייב בהיטל ההשבחה בגין תקופה זו, גם כאשר אין היתר.</w:t>
      </w:r>
    </w:p>
    <w:p w:rsidR="00000DA9" w:rsidRDefault="00000DA9" w:rsidP="00000DA9">
      <w:pPr>
        <w:pStyle w:val="ad"/>
        <w:spacing w:after="180" w:line="360" w:lineRule="auto"/>
        <w:ind w:left="510"/>
        <w:contextualSpacing w:val="0"/>
        <w:jc w:val="both"/>
        <w:rPr>
          <w:rFonts w:ascii="Arial" w:hAnsi="Arial"/>
          <w:noProof w:val="0"/>
          <w:rtl/>
        </w:rPr>
      </w:pPr>
      <w:r>
        <w:rPr>
          <w:rFonts w:ascii="Arial" w:hAnsi="Arial" w:hint="cs"/>
          <w:noProof w:val="0"/>
          <w:rtl/>
        </w:rPr>
        <w:t>בית המשפט העליון דחה טענה זו. ראשית, לעניין עצם החיוב בהיטל ההשבחה הרטרואקטיבי, קובע בית המשפט העליון</w:t>
      </w:r>
      <w:r w:rsidR="0052163F">
        <w:rPr>
          <w:rFonts w:ascii="Arial" w:hAnsi="Arial" w:hint="cs"/>
          <w:noProof w:val="0"/>
          <w:rtl/>
        </w:rPr>
        <w:t xml:space="preserve"> בעניין </w:t>
      </w:r>
      <w:r w:rsidR="0052163F" w:rsidRPr="0052163F">
        <w:rPr>
          <w:rFonts w:ascii="Arial" w:hAnsi="Arial" w:hint="cs"/>
          <w:b/>
          <w:bCs/>
          <w:noProof w:val="0"/>
          <w:rtl/>
        </w:rPr>
        <w:t>גלמבוצקי</w:t>
      </w:r>
      <w:r w:rsidR="0052163F">
        <w:rPr>
          <w:rFonts w:ascii="Arial" w:hAnsi="Arial" w:hint="cs"/>
          <w:noProof w:val="0"/>
          <w:rtl/>
        </w:rPr>
        <w:t xml:space="preserve"> לעיל</w:t>
      </w:r>
      <w:r>
        <w:rPr>
          <w:rFonts w:ascii="Arial" w:hAnsi="Arial" w:hint="cs"/>
          <w:noProof w:val="0"/>
          <w:rtl/>
        </w:rPr>
        <w:t>:</w:t>
      </w:r>
    </w:p>
    <w:p w:rsidR="00000DA9" w:rsidRPr="00000DA9" w:rsidRDefault="00000DA9" w:rsidP="00000DA9">
      <w:pPr>
        <w:pStyle w:val="ad"/>
        <w:spacing w:after="180" w:line="360" w:lineRule="auto"/>
        <w:ind w:left="1219" w:right="426"/>
        <w:contextualSpacing w:val="0"/>
        <w:jc w:val="both"/>
        <w:rPr>
          <w:rFonts w:ascii="Arial" w:hAnsi="Arial"/>
          <w:b/>
          <w:bCs/>
          <w:noProof w:val="0"/>
        </w:rPr>
      </w:pPr>
      <w:r w:rsidRPr="00000DA9">
        <w:rPr>
          <w:rFonts w:ascii="Arial" w:hAnsi="Arial" w:hint="cs"/>
          <w:b/>
          <w:bCs/>
          <w:noProof w:val="0"/>
          <w:rtl/>
        </w:rPr>
        <w:t>"</w:t>
      </w:r>
      <w:r w:rsidRPr="00000DA9">
        <w:rPr>
          <w:rFonts w:ascii="Arial" w:hAnsi="Arial"/>
          <w:b/>
          <w:bCs/>
          <w:noProof w:val="0"/>
          <w:rtl/>
        </w:rPr>
        <w:t>פרשנותה של העירייה שלפיה יש השבחה גם במקום שנעשה במקרקעין בפועל שימוש חורג בלי היתר, אינה מתיישבת עם לשונו המפורשת של סעיף 1(א) לתוספת השלישית. היא גם אינה עולה בקנה אחד עם תכליתו שלפיה רק עליית שווי של מקרקעין שהיא תוצאת פעולות של הרשויות שגרמו להשבחת המקרקעין, תקים חובה בהיטל השבחה. מכאן שאפילו הייתה עליית שווי כתוצאה משימוש חורג שנעשה בלי היתר, אין היא באה בגדר השבחה כהגדרתה בסעיף</w:t>
      </w:r>
      <w:r w:rsidRPr="00000DA9">
        <w:rPr>
          <w:rFonts w:ascii="Arial" w:hAnsi="Arial" w:hint="cs"/>
          <w:b/>
          <w:bCs/>
          <w:noProof w:val="0"/>
          <w:rtl/>
        </w:rPr>
        <w:t>"</w:t>
      </w:r>
    </w:p>
    <w:p w:rsidR="00000DA9" w:rsidRDefault="00000DA9" w:rsidP="00000DA9">
      <w:pPr>
        <w:pStyle w:val="ad"/>
        <w:spacing w:after="180" w:line="360" w:lineRule="auto"/>
        <w:ind w:left="510"/>
        <w:contextualSpacing w:val="0"/>
        <w:jc w:val="both"/>
        <w:rPr>
          <w:rFonts w:ascii="Arial" w:hAnsi="Arial"/>
          <w:noProof w:val="0"/>
        </w:rPr>
      </w:pPr>
      <w:r>
        <w:rPr>
          <w:rFonts w:ascii="Arial" w:hAnsi="Arial" w:hint="cs"/>
          <w:noProof w:val="0"/>
          <w:rtl/>
        </w:rPr>
        <w:lastRenderedPageBreak/>
        <w:t>לטעמי, נימוק זה ישים גם למקרה שלפניי ואין בעצם העובדה כי הוועדה המקומית אישרה את השימוש החורג לתקופת רטרואקטיבית על מנת לשנות מהעובדה כי עליית שווי המקרקעין בעבר אינה תוצאה של מתן ההיתר כיום.</w:t>
      </w:r>
    </w:p>
    <w:p w:rsidR="004750B4" w:rsidRDefault="00000DA9" w:rsidP="004750B4">
      <w:pPr>
        <w:pStyle w:val="ad"/>
        <w:spacing w:after="180" w:line="360" w:lineRule="auto"/>
        <w:ind w:left="510"/>
        <w:contextualSpacing w:val="0"/>
        <w:jc w:val="both"/>
        <w:rPr>
          <w:rFonts w:ascii="Arial" w:hAnsi="Arial"/>
          <w:noProof w:val="0"/>
        </w:rPr>
      </w:pPr>
      <w:r>
        <w:rPr>
          <w:rFonts w:ascii="Arial" w:hAnsi="Arial" w:hint="cs"/>
          <w:noProof w:val="0"/>
          <w:rtl/>
        </w:rPr>
        <w:t>ולעניין שיקול</w:t>
      </w:r>
      <w:r w:rsidR="004750B4">
        <w:rPr>
          <w:rFonts w:ascii="Arial" w:hAnsi="Arial" w:hint="cs"/>
          <w:noProof w:val="0"/>
          <w:rtl/>
        </w:rPr>
        <w:t>י המדיניות מציין בית המשפט העליון:</w:t>
      </w:r>
    </w:p>
    <w:p w:rsidR="00F44FA0" w:rsidRPr="004750B4" w:rsidRDefault="004750B4" w:rsidP="004750B4">
      <w:pPr>
        <w:pStyle w:val="ad"/>
        <w:spacing w:after="180" w:line="360" w:lineRule="auto"/>
        <w:ind w:left="1219" w:right="426"/>
        <w:contextualSpacing w:val="0"/>
        <w:jc w:val="both"/>
        <w:rPr>
          <w:rFonts w:ascii="Arial" w:hAnsi="Arial"/>
          <w:b/>
          <w:bCs/>
          <w:noProof w:val="0"/>
        </w:rPr>
      </w:pPr>
      <w:r w:rsidRPr="004750B4">
        <w:rPr>
          <w:rFonts w:ascii="Arial" w:hAnsi="Arial" w:hint="cs"/>
          <w:b/>
          <w:bCs/>
          <w:noProof w:val="0"/>
          <w:rtl/>
        </w:rPr>
        <w:t>"</w:t>
      </w:r>
      <w:r w:rsidRPr="004750B4">
        <w:rPr>
          <w:rFonts w:ascii="Arial" w:hAnsi="Arial"/>
          <w:b/>
          <w:bCs/>
          <w:noProof w:val="0"/>
          <w:rtl/>
        </w:rPr>
        <w:t xml:space="preserve">גם הטענה כי פירוש דווקני של המונח "התרת שימוש חורג" מיטיב עם העבריינים, </w:t>
      </w:r>
      <w:r w:rsidRPr="004750B4">
        <w:rPr>
          <w:rFonts w:ascii="Arial" w:hAnsi="Arial"/>
          <w:b/>
          <w:bCs/>
          <w:noProof w:val="0"/>
          <w:u w:val="single"/>
          <w:rtl/>
        </w:rPr>
        <w:t>אין לה מקום.</w:t>
      </w:r>
      <w:r w:rsidRPr="004750B4">
        <w:rPr>
          <w:rFonts w:ascii="Arial" w:hAnsi="Arial"/>
          <w:b/>
          <w:bCs/>
          <w:noProof w:val="0"/>
          <w:rtl/>
        </w:rPr>
        <w:t xml:space="preserve"> כאמור לעיל, נקבעה בסעיף 218 המצוי בפרק "עבירות ועונשין" שבחוק, הסמכות לחייב את העבריינים באגרות ובתשלומי חובה אחרים "...שהיו מגיעים ממנו... אילו ניתן ההיתר", ומן הסתם, גם היטל השבחה במשמע. </w:t>
      </w:r>
      <w:r w:rsidRPr="004750B4">
        <w:rPr>
          <w:rFonts w:ascii="Arial" w:hAnsi="Arial"/>
          <w:b/>
          <w:bCs/>
          <w:noProof w:val="0"/>
          <w:u w:val="single"/>
          <w:rtl/>
        </w:rPr>
        <w:t>דרך גבייה זאת של החיוב המגיע, על-ידי צו של בית-המשפט, היא "דרך המלך" שהותוותה לשם כך</w:t>
      </w:r>
      <w:r w:rsidRPr="004750B4">
        <w:rPr>
          <w:rFonts w:ascii="Arial" w:hAnsi="Arial"/>
          <w:b/>
          <w:bCs/>
          <w:noProof w:val="0"/>
          <w:rtl/>
        </w:rPr>
        <w:t>; אין היא רק מעין מסלול מקביל וחלופי לדרך של גביית חוב המגיע לעירייה על-ידי אילוצו של החייב לשלם את חובו כתנאי למתן אישור להעברת המקרקעין.</w:t>
      </w:r>
      <w:r w:rsidRPr="004750B4">
        <w:rPr>
          <w:rFonts w:ascii="Arial" w:hAnsi="Arial" w:hint="cs"/>
          <w:b/>
          <w:bCs/>
          <w:noProof w:val="0"/>
          <w:rtl/>
        </w:rPr>
        <w:t>,</w:t>
      </w:r>
      <w:r>
        <w:rPr>
          <w:rFonts w:ascii="Arial" w:hAnsi="Arial" w:hint="cs"/>
          <w:b/>
          <w:bCs/>
          <w:noProof w:val="0"/>
          <w:rtl/>
        </w:rPr>
        <w:t xml:space="preserve">" </w:t>
      </w:r>
      <w:r w:rsidRPr="004750B4">
        <w:rPr>
          <w:rFonts w:ascii="Arial" w:hAnsi="Arial" w:hint="cs"/>
          <w:noProof w:val="0"/>
          <w:rtl/>
        </w:rPr>
        <w:t>(הדגשה אינה במקור – ג.ה).</w:t>
      </w:r>
      <w:r>
        <w:rPr>
          <w:rFonts w:ascii="Arial" w:hAnsi="Arial" w:hint="cs"/>
          <w:b/>
          <w:bCs/>
          <w:noProof w:val="0"/>
          <w:rtl/>
        </w:rPr>
        <w:t xml:space="preserve"> </w:t>
      </w:r>
    </w:p>
    <w:p w:rsidR="004750B4" w:rsidRDefault="004750B4" w:rsidP="004750B4">
      <w:pPr>
        <w:pStyle w:val="ad"/>
        <w:spacing w:after="180" w:line="360" w:lineRule="auto"/>
        <w:ind w:left="510"/>
        <w:contextualSpacing w:val="0"/>
        <w:jc w:val="both"/>
        <w:rPr>
          <w:rFonts w:ascii="Arial" w:hAnsi="Arial"/>
          <w:noProof w:val="0"/>
        </w:rPr>
      </w:pPr>
      <w:r w:rsidRPr="004750B4">
        <w:rPr>
          <w:rFonts w:ascii="Arial" w:hAnsi="Arial" w:hint="cs"/>
          <w:noProof w:val="0"/>
          <w:rtl/>
        </w:rPr>
        <w:t>דברים אלו, כפי שפירטתי בהרחבה לעיל, נכונים וישימים גם למקרה שלפניי.</w:t>
      </w:r>
    </w:p>
    <w:p w:rsidR="004750B4" w:rsidRDefault="00DB16AD" w:rsidP="00791D5A">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עמדה זו</w:t>
      </w:r>
      <w:r w:rsidR="00791D5A">
        <w:rPr>
          <w:rFonts w:ascii="Arial" w:hAnsi="Arial" w:hint="cs"/>
          <w:noProof w:val="0"/>
          <w:rtl/>
        </w:rPr>
        <w:t xml:space="preserve"> </w:t>
      </w:r>
      <w:r>
        <w:rPr>
          <w:rFonts w:ascii="Arial" w:hAnsi="Arial" w:hint="cs"/>
          <w:noProof w:val="0"/>
          <w:rtl/>
        </w:rPr>
        <w:t xml:space="preserve">אשר על פיה לא ניתן לגבות היטל השבחה לגבי תקופת העבר מצאה בטויה גם בהחלטות ועדות הערר. ר', למשל, </w:t>
      </w:r>
      <w:r w:rsidR="00791D5A">
        <w:rPr>
          <w:rFonts w:ascii="Arial" w:hAnsi="Arial" w:hint="cs"/>
          <w:noProof w:val="0"/>
          <w:rtl/>
        </w:rPr>
        <w:t xml:space="preserve">ההחלטה </w:t>
      </w:r>
      <w:r>
        <w:rPr>
          <w:rFonts w:ascii="Arial" w:hAnsi="Arial" w:hint="cs"/>
          <w:noProof w:val="0"/>
          <w:rtl/>
        </w:rPr>
        <w:t xml:space="preserve">בעניין </w:t>
      </w:r>
      <w:r w:rsidRPr="00DB16AD">
        <w:rPr>
          <w:rFonts w:ascii="Arial" w:hAnsi="Arial" w:hint="cs"/>
          <w:b/>
          <w:bCs/>
          <w:noProof w:val="0"/>
          <w:rtl/>
        </w:rPr>
        <w:t>איזנברג</w:t>
      </w:r>
      <w:r>
        <w:rPr>
          <w:rFonts w:ascii="Arial" w:hAnsi="Arial" w:hint="cs"/>
          <w:noProof w:val="0"/>
          <w:rtl/>
        </w:rPr>
        <w:t xml:space="preserve"> לעיל, אשר במסגרתה נקבע כי אין מקום לגבות היטל השבחה בגין </w:t>
      </w:r>
      <w:r w:rsidR="00C8612C">
        <w:rPr>
          <w:rFonts w:ascii="Arial" w:hAnsi="Arial" w:hint="cs"/>
          <w:noProof w:val="0"/>
          <w:rtl/>
        </w:rPr>
        <w:t>ה</w:t>
      </w:r>
      <w:r>
        <w:rPr>
          <w:rFonts w:ascii="Arial" w:hAnsi="Arial" w:hint="cs"/>
          <w:noProof w:val="0"/>
          <w:rtl/>
        </w:rPr>
        <w:t>תקופ</w:t>
      </w:r>
      <w:r w:rsidR="00C8612C">
        <w:rPr>
          <w:rFonts w:ascii="Arial" w:hAnsi="Arial" w:hint="cs"/>
          <w:noProof w:val="0"/>
          <w:rtl/>
        </w:rPr>
        <w:t>ה אשר</w:t>
      </w:r>
      <w:r>
        <w:rPr>
          <w:rFonts w:ascii="Arial" w:hAnsi="Arial" w:hint="cs"/>
          <w:noProof w:val="0"/>
          <w:rtl/>
        </w:rPr>
        <w:t xml:space="preserve"> קדמה להחלט</w:t>
      </w:r>
      <w:r w:rsidR="00C8612C">
        <w:rPr>
          <w:rFonts w:ascii="Arial" w:hAnsi="Arial" w:hint="cs"/>
          <w:noProof w:val="0"/>
          <w:rtl/>
        </w:rPr>
        <w:t>ה</w:t>
      </w:r>
      <w:r>
        <w:rPr>
          <w:rFonts w:ascii="Arial" w:hAnsi="Arial" w:hint="cs"/>
          <w:noProof w:val="0"/>
          <w:rtl/>
        </w:rPr>
        <w:t xml:space="preserve"> לאשר את השימוש החורג.</w:t>
      </w:r>
    </w:p>
    <w:p w:rsidR="00DB16AD" w:rsidRDefault="00DB16AD" w:rsidP="00791D5A">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חשוב לצין כי בעניין </w:t>
      </w:r>
      <w:r w:rsidRPr="00B45594">
        <w:rPr>
          <w:rFonts w:ascii="Arial" w:hAnsi="Arial" w:hint="eastAsia"/>
          <w:b/>
          <w:bCs/>
          <w:noProof w:val="0"/>
          <w:rtl/>
        </w:rPr>
        <w:t>איזנברג</w:t>
      </w:r>
      <w:r>
        <w:rPr>
          <w:rFonts w:ascii="Arial" w:hAnsi="Arial" w:hint="cs"/>
          <w:noProof w:val="0"/>
          <w:rtl/>
        </w:rPr>
        <w:t xml:space="preserve"> עלתה שאלה זהה לשאלה שלפניי לגבי הדין במקרה בו הוועדה המקומית היא זו שאישרה את השימוש החורג לתקופה רטרואקטיבית</w:t>
      </w:r>
      <w:r w:rsidR="00791D5A">
        <w:rPr>
          <w:rFonts w:ascii="Arial" w:hAnsi="Arial" w:hint="cs"/>
          <w:noProof w:val="0"/>
          <w:rtl/>
        </w:rPr>
        <w:t>.</w:t>
      </w:r>
      <w:r>
        <w:rPr>
          <w:rFonts w:ascii="Arial" w:hAnsi="Arial" w:hint="cs"/>
          <w:noProof w:val="0"/>
          <w:rtl/>
        </w:rPr>
        <w:t xml:space="preserve"> ועדת הערר </w:t>
      </w:r>
      <w:r w:rsidR="00791D5A">
        <w:rPr>
          <w:rFonts w:ascii="Arial" w:hAnsi="Arial" w:hint="cs"/>
          <w:noProof w:val="0"/>
          <w:rtl/>
        </w:rPr>
        <w:t xml:space="preserve">שם </w:t>
      </w:r>
      <w:r>
        <w:rPr>
          <w:rFonts w:ascii="Arial" w:hAnsi="Arial" w:hint="cs"/>
          <w:noProof w:val="0"/>
          <w:rtl/>
        </w:rPr>
        <w:t xml:space="preserve">קובעת באופן ברור, כי אין בכך על מנת לאפשר גביית היטל השבחה בגין תקופת העבר, וזאת מטעמים הדומים לטעמים בפסק דין זה, בפרט העדר קשר סיבתי. ר', למשל, סעיף </w:t>
      </w:r>
      <w:r w:rsidR="00CD41FE">
        <w:rPr>
          <w:rFonts w:ascii="Arial" w:hAnsi="Arial" w:hint="cs"/>
          <w:noProof w:val="0"/>
          <w:rtl/>
        </w:rPr>
        <w:t>55 להחלטה:</w:t>
      </w:r>
    </w:p>
    <w:p w:rsidR="00CD41FE" w:rsidRPr="00CD41FE" w:rsidRDefault="00CD41FE" w:rsidP="00CD41FE">
      <w:pPr>
        <w:pStyle w:val="ad"/>
        <w:spacing w:after="180" w:line="360" w:lineRule="auto"/>
        <w:ind w:left="1219" w:right="426"/>
        <w:contextualSpacing w:val="0"/>
        <w:jc w:val="both"/>
        <w:rPr>
          <w:rFonts w:ascii="Arial" w:hAnsi="Arial"/>
          <w:b/>
          <w:bCs/>
          <w:noProof w:val="0"/>
          <w:rtl/>
        </w:rPr>
      </w:pPr>
      <w:r w:rsidRPr="00CD41FE">
        <w:rPr>
          <w:rFonts w:ascii="Arial" w:hAnsi="Arial" w:hint="cs"/>
          <w:b/>
          <w:bCs/>
          <w:noProof w:val="0"/>
          <w:rtl/>
        </w:rPr>
        <w:t>"בהתאם, אף אם מוכח היה, כי במהלך התקופה הראשונה האמיר לכאורה שווים של המקרקעין, הרי שזאת בהכרח לא "עקב" החלטת הוועדה המקומית שבאה בסיומה. במילים פש</w:t>
      </w:r>
      <w:r>
        <w:rPr>
          <w:rFonts w:ascii="Arial" w:hAnsi="Arial" w:hint="cs"/>
          <w:b/>
          <w:bCs/>
          <w:noProof w:val="0"/>
          <w:rtl/>
        </w:rPr>
        <w:t>ו</w:t>
      </w:r>
      <w:r w:rsidRPr="00CD41FE">
        <w:rPr>
          <w:rFonts w:ascii="Arial" w:hAnsi="Arial" w:hint="cs"/>
          <w:b/>
          <w:bCs/>
          <w:noProof w:val="0"/>
          <w:rtl/>
        </w:rPr>
        <w:t>טות: עליית שווי ככל שחלה במקרקעין, בין יום 16.6.2015 לבין יום 2.7.2017 (התקופה הראשונה), אין אפשר לייחס</w:t>
      </w:r>
      <w:r w:rsidR="00791D5A">
        <w:rPr>
          <w:rFonts w:ascii="Arial" w:hAnsi="Arial" w:hint="cs"/>
          <w:b/>
          <w:bCs/>
          <w:noProof w:val="0"/>
          <w:rtl/>
        </w:rPr>
        <w:t>ה</w:t>
      </w:r>
      <w:r w:rsidRPr="00CD41FE">
        <w:rPr>
          <w:rFonts w:ascii="Arial" w:hAnsi="Arial" w:hint="cs"/>
          <w:b/>
          <w:bCs/>
          <w:noProof w:val="0"/>
          <w:rtl/>
        </w:rPr>
        <w:t xml:space="preserve"> לפעולת תכנון אשר אותה אישרה הוועדה המקומית רק ביום 3.7.2017. מאליו נשמט הבסיס החוקי תחת חיוב העוררים בהיטל השבחה..."</w:t>
      </w:r>
    </w:p>
    <w:p w:rsidR="00CD41FE" w:rsidRPr="00CD41FE" w:rsidRDefault="00CD41FE" w:rsidP="00A5762E">
      <w:pPr>
        <w:pStyle w:val="ad"/>
        <w:spacing w:after="180" w:line="360" w:lineRule="auto"/>
        <w:ind w:left="510"/>
        <w:contextualSpacing w:val="0"/>
        <w:jc w:val="both"/>
        <w:rPr>
          <w:rFonts w:ascii="Arial" w:hAnsi="Arial"/>
          <w:noProof w:val="0"/>
        </w:rPr>
      </w:pPr>
      <w:r w:rsidRPr="00CD41FE">
        <w:rPr>
          <w:rFonts w:ascii="Arial" w:hAnsi="Arial" w:hint="cs"/>
          <w:noProof w:val="0"/>
          <w:rtl/>
        </w:rPr>
        <w:t xml:space="preserve">ונכונים דברים </w:t>
      </w:r>
      <w:r w:rsidR="00C8612C">
        <w:rPr>
          <w:rFonts w:ascii="Arial" w:hAnsi="Arial" w:hint="cs"/>
          <w:noProof w:val="0"/>
          <w:rtl/>
        </w:rPr>
        <w:t>א</w:t>
      </w:r>
      <w:r w:rsidR="00791D5A">
        <w:rPr>
          <w:rFonts w:ascii="Arial" w:hAnsi="Arial" w:hint="cs"/>
          <w:noProof w:val="0"/>
          <w:rtl/>
        </w:rPr>
        <w:t>לו גם למקרה ש</w:t>
      </w:r>
      <w:r w:rsidR="00A5762E">
        <w:rPr>
          <w:rFonts w:ascii="Arial" w:hAnsi="Arial" w:hint="cs"/>
          <w:noProof w:val="0"/>
          <w:rtl/>
        </w:rPr>
        <w:t>ל</w:t>
      </w:r>
      <w:r w:rsidRPr="00CD41FE">
        <w:rPr>
          <w:rFonts w:ascii="Arial" w:hAnsi="Arial" w:hint="cs"/>
          <w:noProof w:val="0"/>
          <w:rtl/>
        </w:rPr>
        <w:t>פניי.</w:t>
      </w:r>
    </w:p>
    <w:p w:rsidR="00244BC0" w:rsidRPr="00CD41FE" w:rsidRDefault="00244BC0" w:rsidP="00CD41FE">
      <w:pPr>
        <w:spacing w:after="180" w:line="360" w:lineRule="auto"/>
        <w:ind w:left="-57"/>
        <w:jc w:val="both"/>
        <w:rPr>
          <w:rFonts w:ascii="Arial" w:hAnsi="Arial"/>
          <w:b/>
          <w:bCs/>
          <w:noProof w:val="0"/>
          <w:u w:val="single"/>
        </w:rPr>
      </w:pPr>
      <w:r w:rsidRPr="00CD41FE">
        <w:rPr>
          <w:rFonts w:ascii="Arial" w:hAnsi="Arial" w:hint="cs"/>
          <w:b/>
          <w:bCs/>
          <w:noProof w:val="0"/>
          <w:u w:val="single"/>
          <w:rtl/>
        </w:rPr>
        <w:lastRenderedPageBreak/>
        <w:t>הליכי רישוי מול הליכי גביית היטל השבחה</w:t>
      </w:r>
    </w:p>
    <w:p w:rsidR="00244BC0" w:rsidRDefault="00244BC0" w:rsidP="00A5762E">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טענה נוספת של המשיבה הייתה כי על המערערות היה לתקוף את הליכי הרישוי בכלל, </w:t>
      </w:r>
      <w:r w:rsidR="00CD41FE">
        <w:rPr>
          <w:rFonts w:ascii="Arial" w:hAnsi="Arial" w:hint="cs"/>
          <w:noProof w:val="0"/>
          <w:rtl/>
        </w:rPr>
        <w:t>ו</w:t>
      </w:r>
      <w:r>
        <w:rPr>
          <w:rFonts w:ascii="Arial" w:hAnsi="Arial" w:hint="cs"/>
          <w:noProof w:val="0"/>
          <w:rtl/>
        </w:rPr>
        <w:t xml:space="preserve">את אישור השימוש החורג לתקופה </w:t>
      </w:r>
      <w:r w:rsidR="00A5762E">
        <w:rPr>
          <w:rFonts w:ascii="Arial" w:hAnsi="Arial" w:hint="cs"/>
          <w:noProof w:val="0"/>
          <w:rtl/>
        </w:rPr>
        <w:t>ה</w:t>
      </w:r>
      <w:r>
        <w:rPr>
          <w:rFonts w:ascii="Arial" w:hAnsi="Arial" w:hint="cs"/>
          <w:noProof w:val="0"/>
          <w:rtl/>
        </w:rPr>
        <w:t>רטרואקטיבית</w:t>
      </w:r>
      <w:r w:rsidR="00CD41FE">
        <w:rPr>
          <w:rFonts w:ascii="Arial" w:hAnsi="Arial" w:hint="cs"/>
          <w:noProof w:val="0"/>
          <w:rtl/>
        </w:rPr>
        <w:t xml:space="preserve"> בפרט</w:t>
      </w:r>
      <w:r w:rsidR="00A5762E">
        <w:rPr>
          <w:rFonts w:ascii="Arial" w:hAnsi="Arial" w:hint="cs"/>
          <w:noProof w:val="0"/>
          <w:rtl/>
        </w:rPr>
        <w:t>,</w:t>
      </w:r>
      <w:r w:rsidR="00CD41FE">
        <w:rPr>
          <w:rFonts w:ascii="Arial" w:hAnsi="Arial" w:hint="cs"/>
          <w:noProof w:val="0"/>
          <w:rtl/>
        </w:rPr>
        <w:t xml:space="preserve"> בהליך</w:t>
      </w:r>
      <w:r>
        <w:rPr>
          <w:rFonts w:ascii="Arial" w:hAnsi="Arial" w:hint="cs"/>
          <w:noProof w:val="0"/>
          <w:rtl/>
        </w:rPr>
        <w:t xml:space="preserve"> </w:t>
      </w:r>
      <w:r w:rsidR="00CD41FE">
        <w:rPr>
          <w:rFonts w:ascii="Arial" w:hAnsi="Arial" w:hint="cs"/>
          <w:noProof w:val="0"/>
          <w:rtl/>
        </w:rPr>
        <w:t xml:space="preserve">של </w:t>
      </w:r>
      <w:r>
        <w:rPr>
          <w:rFonts w:ascii="Arial" w:hAnsi="Arial" w:hint="cs"/>
          <w:noProof w:val="0"/>
          <w:rtl/>
        </w:rPr>
        <w:t>ערר ל</w:t>
      </w:r>
      <w:r w:rsidR="00CD41FE">
        <w:rPr>
          <w:rFonts w:ascii="Arial" w:hAnsi="Arial" w:hint="cs"/>
          <w:noProof w:val="0"/>
          <w:rtl/>
        </w:rPr>
        <w:t>וועדת הערר לענייני תכנון ובניה. מכאן,</w:t>
      </w:r>
      <w:r>
        <w:rPr>
          <w:rFonts w:ascii="Arial" w:hAnsi="Arial" w:hint="cs"/>
          <w:noProof w:val="0"/>
          <w:rtl/>
        </w:rPr>
        <w:t xml:space="preserve"> כאשר לא עשו כן</w:t>
      </w:r>
      <w:r w:rsidR="00CD41FE">
        <w:rPr>
          <w:rFonts w:ascii="Arial" w:hAnsi="Arial" w:hint="cs"/>
          <w:noProof w:val="0"/>
          <w:rtl/>
        </w:rPr>
        <w:t xml:space="preserve"> המערערות</w:t>
      </w:r>
      <w:r>
        <w:rPr>
          <w:rFonts w:ascii="Arial" w:hAnsi="Arial" w:hint="cs"/>
          <w:noProof w:val="0"/>
          <w:rtl/>
        </w:rPr>
        <w:t xml:space="preserve">, הן מנועות מלעלות טענות אלו במסגרת הליכי היטל ההשבחה. איני מקבל טענה זו, </w:t>
      </w:r>
      <w:r w:rsidR="001B3BC7">
        <w:rPr>
          <w:rFonts w:ascii="Arial" w:hAnsi="Arial" w:hint="cs"/>
          <w:noProof w:val="0"/>
          <w:rtl/>
        </w:rPr>
        <w:t>לא במישור העקרוני ולא במישור הפרטני של תיק זה.</w:t>
      </w:r>
      <w:r w:rsidR="00CD41FE">
        <w:rPr>
          <w:rFonts w:ascii="Arial" w:hAnsi="Arial" w:hint="cs"/>
          <w:noProof w:val="0"/>
          <w:rtl/>
        </w:rPr>
        <w:t xml:space="preserve"> ואבאר.</w:t>
      </w:r>
    </w:p>
    <w:p w:rsidR="001B3BC7" w:rsidRDefault="00A5762E" w:rsidP="00A5762E">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במישור העקרוני ההלכה הינה, </w:t>
      </w:r>
      <w:r w:rsidR="001B3BC7">
        <w:rPr>
          <w:rFonts w:ascii="Arial" w:hAnsi="Arial" w:hint="cs"/>
          <w:noProof w:val="0"/>
          <w:rtl/>
        </w:rPr>
        <w:t>כי הליכי הרישוי או התכנון אינם מהווים חזקה חלוטה להליכי היטל ההשבחה. כך, לדוגמא, יזם ש</w:t>
      </w:r>
      <w:r>
        <w:rPr>
          <w:rFonts w:ascii="Arial" w:hAnsi="Arial" w:hint="cs"/>
          <w:noProof w:val="0"/>
          <w:rtl/>
        </w:rPr>
        <w:t>נדרש</w:t>
      </w:r>
      <w:r w:rsidR="001B3BC7">
        <w:rPr>
          <w:rFonts w:ascii="Arial" w:hAnsi="Arial" w:hint="cs"/>
          <w:noProof w:val="0"/>
          <w:rtl/>
        </w:rPr>
        <w:t xml:space="preserve"> על ידי הוועדה המקומית לבקש הקלה במסגרת הליכי הרישוי, רשאי לטעון במסגרת הליכי היטל ההשבחה, כי למעשה מדובר בבקשה תואמת תכנית שאינה מחייבת בהיטל</w:t>
      </w:r>
      <w:r w:rsidR="00CD41FE">
        <w:rPr>
          <w:rFonts w:ascii="Arial" w:hAnsi="Arial" w:hint="cs"/>
          <w:noProof w:val="0"/>
          <w:rtl/>
        </w:rPr>
        <w:t xml:space="preserve"> השבחה</w:t>
      </w:r>
      <w:r w:rsidR="001B3BC7">
        <w:rPr>
          <w:rFonts w:ascii="Arial" w:hAnsi="Arial" w:hint="cs"/>
          <w:noProof w:val="0"/>
          <w:rtl/>
        </w:rPr>
        <w:t>, והעובדה כי לא הגיש ערר על החלטת הוועדה המקומית לפרסם הקלה, אינה מונעת ממנו לטעון זאת</w:t>
      </w:r>
      <w:r w:rsidR="00CD41FE">
        <w:rPr>
          <w:rFonts w:ascii="Arial" w:hAnsi="Arial" w:hint="cs"/>
          <w:noProof w:val="0"/>
          <w:rtl/>
        </w:rPr>
        <w:t xml:space="preserve"> במסגרת הליכי היטל השבחה</w:t>
      </w:r>
      <w:r w:rsidR="001B3BC7">
        <w:rPr>
          <w:rFonts w:ascii="Arial" w:hAnsi="Arial" w:hint="cs"/>
          <w:noProof w:val="0"/>
          <w:rtl/>
        </w:rPr>
        <w:t>.</w:t>
      </w:r>
    </w:p>
    <w:p w:rsidR="00AB3930" w:rsidRDefault="001B3BC7" w:rsidP="00AB3930">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אטעים, </w:t>
      </w:r>
      <w:r w:rsidRPr="00CD41FE">
        <w:rPr>
          <w:rFonts w:ascii="Arial" w:hAnsi="Arial" w:hint="cs"/>
          <w:b/>
          <w:bCs/>
          <w:noProof w:val="0"/>
          <w:rtl/>
        </w:rPr>
        <w:t>איני</w:t>
      </w:r>
      <w:r>
        <w:rPr>
          <w:rFonts w:ascii="Arial" w:hAnsi="Arial" w:hint="cs"/>
          <w:noProof w:val="0"/>
          <w:rtl/>
        </w:rPr>
        <w:t xml:space="preserve"> קובע כי להליכי הרישוי אין מעמד במסגרת הליכי היטל ההשבחה, והעובדה כי ננקטו הליכי הקלה במסגרת הליך הרישוי, יש לה משמעות </w:t>
      </w:r>
      <w:r w:rsidR="00CD41FE">
        <w:rPr>
          <w:rFonts w:ascii="Arial" w:hAnsi="Arial" w:hint="cs"/>
          <w:noProof w:val="0"/>
          <w:rtl/>
        </w:rPr>
        <w:t xml:space="preserve">ממשית </w:t>
      </w:r>
      <w:r>
        <w:rPr>
          <w:rFonts w:ascii="Arial" w:hAnsi="Arial" w:hint="cs"/>
          <w:noProof w:val="0"/>
          <w:rtl/>
        </w:rPr>
        <w:t xml:space="preserve">במסגרת הליכי קביעת היטל ההשבחה, והיא מטילה נטל כבד על הטוען כי הליכי הרישוי התנהלו באופן לא נכון. </w:t>
      </w:r>
    </w:p>
    <w:p w:rsidR="001B3BC7" w:rsidRDefault="001B3BC7" w:rsidP="00AB3930">
      <w:pPr>
        <w:pStyle w:val="ad"/>
        <w:spacing w:after="180" w:line="360" w:lineRule="auto"/>
        <w:ind w:left="510"/>
        <w:contextualSpacing w:val="0"/>
        <w:jc w:val="both"/>
        <w:rPr>
          <w:rFonts w:ascii="Arial" w:hAnsi="Arial"/>
          <w:noProof w:val="0"/>
        </w:rPr>
      </w:pPr>
      <w:r>
        <w:rPr>
          <w:rFonts w:ascii="Arial" w:hAnsi="Arial" w:hint="cs"/>
          <w:noProof w:val="0"/>
          <w:rtl/>
        </w:rPr>
        <w:t>אולם, וזו הקביעה המדויקת</w:t>
      </w:r>
      <w:r w:rsidR="00AB3930">
        <w:rPr>
          <w:rFonts w:ascii="Arial" w:hAnsi="Arial" w:hint="cs"/>
          <w:noProof w:val="0"/>
          <w:rtl/>
        </w:rPr>
        <w:t xml:space="preserve"> לעניין</w:t>
      </w:r>
      <w:r>
        <w:rPr>
          <w:rFonts w:ascii="Arial" w:hAnsi="Arial" w:hint="cs"/>
          <w:noProof w:val="0"/>
          <w:rtl/>
        </w:rPr>
        <w:t>, העובדה כי ננקטו הליכי רישוי</w:t>
      </w:r>
      <w:r w:rsidR="00AB3930">
        <w:rPr>
          <w:rFonts w:ascii="Arial" w:hAnsi="Arial" w:hint="cs"/>
          <w:noProof w:val="0"/>
          <w:rtl/>
        </w:rPr>
        <w:t>,</w:t>
      </w:r>
      <w:r>
        <w:rPr>
          <w:rFonts w:ascii="Arial" w:hAnsi="Arial" w:hint="cs"/>
          <w:noProof w:val="0"/>
          <w:rtl/>
        </w:rPr>
        <w:t xml:space="preserve"> או תכנון מסוימים</w:t>
      </w:r>
      <w:r w:rsidR="00AB3930">
        <w:rPr>
          <w:rFonts w:ascii="Arial" w:hAnsi="Arial" w:hint="cs"/>
          <w:noProof w:val="0"/>
          <w:rtl/>
        </w:rPr>
        <w:t>,</w:t>
      </w:r>
      <w:r>
        <w:rPr>
          <w:rFonts w:ascii="Arial" w:hAnsi="Arial" w:hint="cs"/>
          <w:noProof w:val="0"/>
          <w:rtl/>
        </w:rPr>
        <w:t xml:space="preserve"> אינה מונעת מראש ובאופן מוחלט מלטעון</w:t>
      </w:r>
      <w:r w:rsidR="00AB3930">
        <w:rPr>
          <w:rFonts w:ascii="Arial" w:hAnsi="Arial" w:hint="cs"/>
          <w:noProof w:val="0"/>
          <w:rtl/>
        </w:rPr>
        <w:t xml:space="preserve"> במסגרת הליכי היטל ההשבחה,</w:t>
      </w:r>
      <w:r>
        <w:rPr>
          <w:rFonts w:ascii="Arial" w:hAnsi="Arial" w:hint="cs"/>
          <w:noProof w:val="0"/>
          <w:rtl/>
        </w:rPr>
        <w:t xml:space="preserve"> כי אלו ננקטו בצורה שגויה.</w:t>
      </w:r>
    </w:p>
    <w:p w:rsidR="000155D0" w:rsidRPr="000155D0" w:rsidRDefault="00FD5E19" w:rsidP="00AB3930">
      <w:pPr>
        <w:pStyle w:val="ad"/>
        <w:spacing w:after="180" w:line="360" w:lineRule="auto"/>
        <w:ind w:left="510"/>
        <w:contextualSpacing w:val="0"/>
        <w:jc w:val="both"/>
        <w:rPr>
          <w:rFonts w:ascii="Arial" w:hAnsi="Arial"/>
          <w:noProof w:val="0"/>
          <w:rtl/>
        </w:rPr>
      </w:pPr>
      <w:r w:rsidRPr="00FD5E19">
        <w:rPr>
          <w:rFonts w:ascii="Arial" w:hAnsi="Arial" w:hint="cs"/>
          <w:noProof w:val="0"/>
          <w:rtl/>
        </w:rPr>
        <w:t>לעניין זה ר',</w:t>
      </w:r>
      <w:r w:rsidR="000155D0">
        <w:rPr>
          <w:rFonts w:ascii="Arial" w:hAnsi="Arial" w:hint="cs"/>
          <w:noProof w:val="0"/>
          <w:rtl/>
        </w:rPr>
        <w:t xml:space="preserve"> </w:t>
      </w:r>
      <w:r w:rsidR="000155D0" w:rsidRPr="000155D0">
        <w:rPr>
          <w:rFonts w:ascii="Arial" w:hAnsi="Arial"/>
          <w:noProof w:val="0"/>
          <w:rtl/>
        </w:rPr>
        <w:t xml:space="preserve">עמ"ן (ת"א) 18063-05-21 </w:t>
      </w:r>
      <w:r w:rsidR="000155D0" w:rsidRPr="000155D0">
        <w:rPr>
          <w:rFonts w:ascii="Arial" w:hAnsi="Arial"/>
          <w:b/>
          <w:bCs/>
          <w:noProof w:val="0"/>
          <w:rtl/>
        </w:rPr>
        <w:t xml:space="preserve">הוועדה המקומית לתכנון ולבנייה תל אביב נ' ד"ר ניסן פרמינגר בע"מ </w:t>
      </w:r>
      <w:r w:rsidR="000155D0" w:rsidRPr="000155D0">
        <w:rPr>
          <w:rFonts w:ascii="Arial" w:hAnsi="Arial"/>
          <w:noProof w:val="0"/>
          <w:rtl/>
        </w:rPr>
        <w:t>(פורסם בנבו, 11.12.2022)</w:t>
      </w:r>
      <w:r w:rsidR="000155D0">
        <w:rPr>
          <w:rFonts w:ascii="Arial" w:hAnsi="Arial" w:hint="cs"/>
          <w:noProof w:val="0"/>
          <w:rtl/>
        </w:rPr>
        <w:t>:</w:t>
      </w:r>
    </w:p>
    <w:p w:rsidR="000155D0" w:rsidRPr="000155D0" w:rsidRDefault="000155D0" w:rsidP="00B45594">
      <w:pPr>
        <w:pStyle w:val="ad"/>
        <w:spacing w:after="180" w:line="360" w:lineRule="auto"/>
        <w:ind w:left="1219" w:right="426"/>
        <w:contextualSpacing w:val="0"/>
        <w:jc w:val="both"/>
        <w:rPr>
          <w:rFonts w:ascii="Arial" w:hAnsi="Arial"/>
          <w:b/>
          <w:bCs/>
          <w:noProof w:val="0"/>
        </w:rPr>
      </w:pPr>
      <w:r w:rsidRPr="000155D0">
        <w:rPr>
          <w:rFonts w:ascii="Arial" w:hAnsi="Arial"/>
          <w:b/>
          <w:bCs/>
          <w:noProof w:val="0"/>
          <w:rtl/>
        </w:rPr>
        <w:t>"אולם אם בסופו של דבר נוכחנו לדעת כי ההקלה לא הייתה דרושה (לגבי מרבית השטחים הנדונים), אזי לעניין ההיטל, לא ניתן לומר כי נוצרה "השבחה", כמשמעותה בסעיף 1 לחוק, "עקב... מתן הקלה". "עקב" פירושו כתוצאה מאותו גורם מחולל. ואם שטחי המרפסות יכלו להימנות עם הזכויות בסל התמ"א (בגלל העודף), אזי מקור ההשבחה הוא בתמ"א 38 וחל הפטור."</w:t>
      </w:r>
    </w:p>
    <w:p w:rsidR="00FD5E19" w:rsidRPr="00FD5E19" w:rsidRDefault="000155D0" w:rsidP="00AB3930">
      <w:pPr>
        <w:pStyle w:val="ad"/>
        <w:spacing w:after="180" w:line="360" w:lineRule="auto"/>
        <w:ind w:left="510"/>
        <w:contextualSpacing w:val="0"/>
        <w:jc w:val="both"/>
        <w:rPr>
          <w:rFonts w:ascii="Arial" w:hAnsi="Arial"/>
          <w:noProof w:val="0"/>
          <w:rtl/>
        </w:rPr>
      </w:pPr>
      <w:r>
        <w:rPr>
          <w:rFonts w:ascii="Arial" w:hAnsi="Arial" w:hint="cs"/>
          <w:noProof w:val="0"/>
          <w:rtl/>
        </w:rPr>
        <w:t xml:space="preserve">וכן ר' ערר </w:t>
      </w:r>
      <w:r w:rsidR="00FD5E19" w:rsidRPr="00FD5E19">
        <w:rPr>
          <w:rFonts w:ascii="Arial" w:hAnsi="Arial"/>
          <w:noProof w:val="0"/>
          <w:rtl/>
        </w:rPr>
        <w:t xml:space="preserve">(ירושלים) 136/10 </w:t>
      </w:r>
      <w:r w:rsidR="00FD5E19" w:rsidRPr="00FD5E19">
        <w:rPr>
          <w:rFonts w:ascii="Arial" w:hAnsi="Arial"/>
          <w:b/>
          <w:bCs/>
          <w:noProof w:val="0"/>
          <w:rtl/>
        </w:rPr>
        <w:t>רוזנגרטן נ. הוועדה המקומית ירושלים</w:t>
      </w:r>
      <w:r w:rsidR="004F4B35">
        <w:rPr>
          <w:rFonts w:ascii="Arial" w:hAnsi="Arial" w:hint="cs"/>
          <w:noProof w:val="0"/>
          <w:rtl/>
        </w:rPr>
        <w:t xml:space="preserve"> [פורסם במאגר נבו] (10.8.</w:t>
      </w:r>
      <w:r w:rsidR="0042490E">
        <w:rPr>
          <w:rFonts w:ascii="Arial" w:hAnsi="Arial" w:hint="cs"/>
          <w:noProof w:val="0"/>
          <w:rtl/>
        </w:rPr>
        <w:t>20</w:t>
      </w:r>
      <w:r w:rsidR="004F4B35">
        <w:rPr>
          <w:rFonts w:ascii="Arial" w:hAnsi="Arial" w:hint="cs"/>
          <w:noProof w:val="0"/>
          <w:rtl/>
        </w:rPr>
        <w:t>10) ו</w:t>
      </w:r>
      <w:r w:rsidR="0042490E">
        <w:rPr>
          <w:rFonts w:ascii="Arial" w:hAnsi="Arial" w:hint="cs"/>
          <w:noProof w:val="0"/>
          <w:rtl/>
        </w:rPr>
        <w:t>הה</w:t>
      </w:r>
      <w:r w:rsidR="004F4B35">
        <w:rPr>
          <w:rFonts w:ascii="Arial" w:hAnsi="Arial" w:hint="cs"/>
          <w:noProof w:val="0"/>
          <w:rtl/>
        </w:rPr>
        <w:t xml:space="preserve">נמקות שם. </w:t>
      </w:r>
    </w:p>
    <w:p w:rsidR="000155D0" w:rsidRPr="003D7ADA" w:rsidRDefault="004F4B35" w:rsidP="00AB3930">
      <w:pPr>
        <w:pStyle w:val="ad"/>
        <w:spacing w:after="180" w:line="360" w:lineRule="auto"/>
        <w:ind w:left="510"/>
        <w:contextualSpacing w:val="0"/>
        <w:jc w:val="both"/>
        <w:rPr>
          <w:rFonts w:ascii="Arial" w:hAnsi="Arial"/>
          <w:noProof w:val="0"/>
        </w:rPr>
      </w:pPr>
      <w:r>
        <w:rPr>
          <w:rFonts w:ascii="Arial" w:hAnsi="Arial" w:hint="cs"/>
          <w:noProof w:val="0"/>
          <w:rtl/>
        </w:rPr>
        <w:t xml:space="preserve">עוד </w:t>
      </w:r>
      <w:r w:rsidR="000155D0">
        <w:rPr>
          <w:rFonts w:ascii="Arial" w:hAnsi="Arial" w:hint="cs"/>
          <w:noProof w:val="0"/>
          <w:rtl/>
        </w:rPr>
        <w:t xml:space="preserve">ר' סיכום נאה של ההלכה </w:t>
      </w:r>
      <w:r w:rsidR="00AB3930">
        <w:rPr>
          <w:rFonts w:ascii="Arial" w:hAnsi="Arial" w:hint="cs"/>
          <w:noProof w:val="0"/>
          <w:rtl/>
        </w:rPr>
        <w:t xml:space="preserve">על גווניה </w:t>
      </w:r>
      <w:r w:rsidR="000155D0">
        <w:rPr>
          <w:rFonts w:ascii="Arial" w:hAnsi="Arial" w:hint="cs"/>
          <w:noProof w:val="0"/>
          <w:rtl/>
        </w:rPr>
        <w:t xml:space="preserve">בעניין </w:t>
      </w:r>
      <w:r w:rsidR="000155D0" w:rsidRPr="000155D0">
        <w:rPr>
          <w:rFonts w:ascii="Arial" w:hAnsi="Arial"/>
          <w:noProof w:val="0"/>
          <w:rtl/>
        </w:rPr>
        <w:t>ערר (מרכז) 8061-07-22‏ ‏</w:t>
      </w:r>
      <w:r w:rsidR="000155D0" w:rsidRPr="000155D0">
        <w:rPr>
          <w:rFonts w:ascii="Arial" w:hAnsi="Arial"/>
          <w:b/>
          <w:bCs/>
          <w:noProof w:val="0"/>
          <w:rtl/>
        </w:rPr>
        <w:t>שפונדר ריטוב בניה בע"מ נ' הוועדה המקומית לתכנון ולבנייה שרונים</w:t>
      </w:r>
      <w:r w:rsidR="000155D0">
        <w:rPr>
          <w:rFonts w:ascii="Arial" w:hAnsi="Arial" w:hint="cs"/>
          <w:b/>
          <w:bCs/>
          <w:noProof w:val="0"/>
          <w:rtl/>
        </w:rPr>
        <w:t xml:space="preserve"> </w:t>
      </w:r>
      <w:r w:rsidR="000155D0" w:rsidRPr="000155D0">
        <w:rPr>
          <w:rFonts w:ascii="Arial" w:hAnsi="Arial" w:hint="cs"/>
          <w:noProof w:val="0"/>
          <w:rtl/>
        </w:rPr>
        <w:t>[פורסם במאגר נבו] (26.12.2022)</w:t>
      </w:r>
      <w:r w:rsidR="000155D0">
        <w:rPr>
          <w:rFonts w:ascii="Arial" w:hAnsi="Arial" w:hint="cs"/>
          <w:b/>
          <w:bCs/>
          <w:noProof w:val="0"/>
          <w:rtl/>
        </w:rPr>
        <w:t>.</w:t>
      </w:r>
    </w:p>
    <w:p w:rsidR="00AB3930" w:rsidRDefault="00AB3930" w:rsidP="00AB3930">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lastRenderedPageBreak/>
        <w:t xml:space="preserve">באופן פרטני במקרה שלפניי, הרי הוועדה המקומית מיוזמתה שלה החליטה להביא את הנושא לדיון נוסף ולאשר למערערות שימוש חורג לגבי העבר. איני סבור כי במקרה שכזה יש לצפות מהמערערות לנקוט בהליך כנגד החלטה במסגרתה </w:t>
      </w:r>
      <w:r w:rsidRPr="00AB3930">
        <w:rPr>
          <w:rFonts w:ascii="Arial" w:hAnsi="Arial" w:hint="cs"/>
          <w:b/>
          <w:bCs/>
          <w:noProof w:val="0"/>
          <w:rtl/>
        </w:rPr>
        <w:t xml:space="preserve">אושר </w:t>
      </w:r>
      <w:r>
        <w:rPr>
          <w:rFonts w:ascii="Arial" w:hAnsi="Arial" w:hint="cs"/>
          <w:noProof w:val="0"/>
          <w:rtl/>
        </w:rPr>
        <w:t xml:space="preserve">להן שימוש חורג עבור העבר. </w:t>
      </w:r>
    </w:p>
    <w:p w:rsidR="00AB3930" w:rsidRDefault="00AB3930" w:rsidP="00D30495">
      <w:pPr>
        <w:pStyle w:val="ad"/>
        <w:spacing w:after="180" w:line="360" w:lineRule="auto"/>
        <w:ind w:left="510"/>
        <w:contextualSpacing w:val="0"/>
        <w:jc w:val="both"/>
        <w:rPr>
          <w:rFonts w:ascii="Arial" w:hAnsi="Arial"/>
          <w:noProof w:val="0"/>
        </w:rPr>
      </w:pPr>
      <w:r>
        <w:rPr>
          <w:rFonts w:ascii="Arial" w:hAnsi="Arial" w:hint="cs"/>
          <w:noProof w:val="0"/>
          <w:rtl/>
        </w:rPr>
        <w:t xml:space="preserve">ייתכן, ואיני קובע במסמרות בנושא, כי אילו המערערות עצמן היו מבקשות שימוש חורג לגבי העבר, הייתה בקשה זו יוצרת מניעות מלטעון אחרת בהליכי היטל ההשבחה. אולם, אין כל טענה שכזו כאן, והמשיבה מציינת מפורשות כי השימוש החורג לתקופה הרטרואקטיבית </w:t>
      </w:r>
      <w:r w:rsidR="00D30495">
        <w:rPr>
          <w:rFonts w:ascii="Arial" w:hAnsi="Arial" w:hint="cs"/>
          <w:noProof w:val="0"/>
          <w:rtl/>
        </w:rPr>
        <w:t>אושר</w:t>
      </w:r>
      <w:r w:rsidR="005304BB">
        <w:rPr>
          <w:rFonts w:ascii="Arial" w:hAnsi="Arial" w:hint="cs"/>
          <w:noProof w:val="0"/>
          <w:rtl/>
        </w:rPr>
        <w:t xml:space="preserve"> </w:t>
      </w:r>
      <w:r w:rsidR="00525FEF">
        <w:rPr>
          <w:rFonts w:ascii="Arial" w:hAnsi="Arial" w:hint="cs"/>
          <w:noProof w:val="0"/>
          <w:rtl/>
        </w:rPr>
        <w:t>ב</w:t>
      </w:r>
      <w:r>
        <w:rPr>
          <w:rFonts w:ascii="Arial" w:hAnsi="Arial" w:hint="cs"/>
          <w:noProof w:val="0"/>
          <w:rtl/>
        </w:rPr>
        <w:t xml:space="preserve">יוזמה שלה. </w:t>
      </w:r>
    </w:p>
    <w:p w:rsidR="00624D98" w:rsidRDefault="00AB3930" w:rsidP="00624D98">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לאור האמור לעיל, אני סבור שאין בעצם הליכי</w:t>
      </w:r>
      <w:r w:rsidR="00655540">
        <w:rPr>
          <w:rFonts w:ascii="Arial" w:hAnsi="Arial" w:hint="cs"/>
          <w:noProof w:val="0"/>
          <w:rtl/>
        </w:rPr>
        <w:t xml:space="preserve"> הרישוי כפי שהתנ</w:t>
      </w:r>
      <w:r w:rsidR="00624D98">
        <w:rPr>
          <w:rFonts w:ascii="Arial" w:hAnsi="Arial" w:hint="cs"/>
          <w:noProof w:val="0"/>
          <w:rtl/>
        </w:rPr>
        <w:t xml:space="preserve">הלו ליצור השתק או מניעות מלטעון, כי אין לחייב </w:t>
      </w:r>
      <w:r w:rsidR="005304BB">
        <w:rPr>
          <w:rFonts w:ascii="Arial" w:hAnsi="Arial" w:hint="cs"/>
          <w:noProof w:val="0"/>
          <w:rtl/>
        </w:rPr>
        <w:t>ב</w:t>
      </w:r>
      <w:r w:rsidR="00624D98">
        <w:rPr>
          <w:rFonts w:ascii="Arial" w:hAnsi="Arial" w:hint="cs"/>
          <w:noProof w:val="0"/>
          <w:rtl/>
        </w:rPr>
        <w:t>היטל השבחה בגין תקופת העבר.</w:t>
      </w:r>
    </w:p>
    <w:p w:rsidR="00624D98" w:rsidRDefault="00624D98" w:rsidP="000A08A2">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 xml:space="preserve">להשלמת התמונה אציין, כי קיים ספק בעצם סמכותה של הוועדה המקומית </w:t>
      </w:r>
      <w:r w:rsidR="00525FEF">
        <w:rPr>
          <w:rFonts w:ascii="Arial" w:hAnsi="Arial" w:hint="cs"/>
          <w:noProof w:val="0"/>
          <w:rtl/>
        </w:rPr>
        <w:t xml:space="preserve">במסגרת הליכי הרישוי </w:t>
      </w:r>
      <w:r>
        <w:rPr>
          <w:rFonts w:ascii="Arial" w:hAnsi="Arial" w:hint="cs"/>
          <w:noProof w:val="0"/>
          <w:rtl/>
        </w:rPr>
        <w:t>לאשר שימוש חורג לתקופת העבר, ר', עניין</w:t>
      </w:r>
      <w:r w:rsidRPr="000A08A2">
        <w:rPr>
          <w:rFonts w:ascii="Arial" w:hAnsi="Arial" w:hint="cs"/>
          <w:b/>
          <w:bCs/>
          <w:noProof w:val="0"/>
          <w:rtl/>
        </w:rPr>
        <w:t xml:space="preserve"> איזנברג</w:t>
      </w:r>
      <w:r>
        <w:rPr>
          <w:rFonts w:ascii="Arial" w:hAnsi="Arial" w:hint="cs"/>
          <w:noProof w:val="0"/>
          <w:rtl/>
        </w:rPr>
        <w:t xml:space="preserve"> לעיל בפסקה 53, אולם כאשר הדבר אינו נדרש להכרעה בתיק זה, אשאיר נושא זה בצר</w:t>
      </w:r>
      <w:r w:rsidR="00197866">
        <w:rPr>
          <w:rFonts w:ascii="Arial" w:hAnsi="Arial" w:hint="cs"/>
          <w:noProof w:val="0"/>
          <w:rtl/>
        </w:rPr>
        <w:t>י</w:t>
      </w:r>
      <w:r>
        <w:rPr>
          <w:rFonts w:ascii="Arial" w:hAnsi="Arial" w:hint="cs"/>
          <w:noProof w:val="0"/>
          <w:rtl/>
        </w:rPr>
        <w:t xml:space="preserve">ך עיון. </w:t>
      </w:r>
    </w:p>
    <w:p w:rsidR="00525FEF" w:rsidRDefault="00525FEF" w:rsidP="00525FEF">
      <w:pPr>
        <w:pStyle w:val="ad"/>
        <w:numPr>
          <w:ilvl w:val="0"/>
          <w:numId w:val="1"/>
        </w:numPr>
        <w:spacing w:after="180" w:line="360" w:lineRule="auto"/>
        <w:ind w:left="510" w:hanging="567"/>
        <w:contextualSpacing w:val="0"/>
        <w:jc w:val="both"/>
        <w:rPr>
          <w:rFonts w:ascii="Arial" w:hAnsi="Arial"/>
          <w:noProof w:val="0"/>
          <w:rtl/>
        </w:rPr>
      </w:pPr>
      <w:r>
        <w:rPr>
          <w:rFonts w:ascii="Arial" w:hAnsi="Arial" w:hint="cs"/>
          <w:noProof w:val="0"/>
          <w:rtl/>
        </w:rPr>
        <w:t>עוד אציין, כי לא מצאתי ביתר הנימוקים של ועדת הערר, ויתר הטענות של המשיבה, לשנות מהמסקנה המפורטת והמנומקת לעיל.</w:t>
      </w:r>
    </w:p>
    <w:p w:rsidR="00624D98" w:rsidRPr="00624D98" w:rsidRDefault="00624D98" w:rsidP="00624D98">
      <w:pPr>
        <w:spacing w:after="180" w:line="360" w:lineRule="auto"/>
        <w:jc w:val="both"/>
        <w:rPr>
          <w:rFonts w:ascii="Arial" w:hAnsi="Arial"/>
          <w:b/>
          <w:bCs/>
          <w:noProof w:val="0"/>
          <w:u w:val="single"/>
        </w:rPr>
      </w:pPr>
      <w:r w:rsidRPr="00624D98">
        <w:rPr>
          <w:rFonts w:ascii="Arial" w:hAnsi="Arial" w:hint="cs"/>
          <w:b/>
          <w:bCs/>
          <w:noProof w:val="0"/>
          <w:u w:val="single"/>
          <w:rtl/>
        </w:rPr>
        <w:t xml:space="preserve">סיכום </w:t>
      </w:r>
    </w:p>
    <w:p w:rsidR="00624D98" w:rsidRDefault="00624D98" w:rsidP="004F4B35">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לאור האמור והמפורט לעיל, אני קובע כי לא ניתן לגבות היטל השבחה לתקופה שקדמה להחלטה לאישור השימוש החורג.</w:t>
      </w:r>
    </w:p>
    <w:p w:rsidR="00FC390A" w:rsidRDefault="00197866" w:rsidP="005304BB">
      <w:pPr>
        <w:pStyle w:val="ad"/>
        <w:spacing w:after="180" w:line="360" w:lineRule="auto"/>
        <w:ind w:left="510"/>
        <w:contextualSpacing w:val="0"/>
        <w:jc w:val="both"/>
        <w:rPr>
          <w:rFonts w:ascii="Arial" w:hAnsi="Arial"/>
          <w:noProof w:val="0"/>
        </w:rPr>
      </w:pPr>
      <w:r>
        <w:rPr>
          <w:rFonts w:ascii="Arial" w:hAnsi="Arial" w:hint="cs"/>
          <w:noProof w:val="0"/>
          <w:rtl/>
        </w:rPr>
        <w:t>ל</w:t>
      </w:r>
      <w:r w:rsidR="00FC390A">
        <w:rPr>
          <w:rFonts w:ascii="Arial" w:hAnsi="Arial" w:hint="cs"/>
          <w:noProof w:val="0"/>
          <w:rtl/>
        </w:rPr>
        <w:t xml:space="preserve">מען הסר ספק, המועד בגינו תחל התקופה בגינה יחול חיוב בהיטל ההשבחה הינו מועד </w:t>
      </w:r>
      <w:r w:rsidR="005304BB">
        <w:rPr>
          <w:rFonts w:ascii="Arial" w:hAnsi="Arial" w:hint="cs"/>
          <w:noProof w:val="0"/>
          <w:rtl/>
        </w:rPr>
        <w:t>מתן</w:t>
      </w:r>
      <w:r w:rsidR="00FC390A">
        <w:rPr>
          <w:rFonts w:ascii="Arial" w:hAnsi="Arial" w:hint="cs"/>
          <w:noProof w:val="0"/>
          <w:rtl/>
        </w:rPr>
        <w:t xml:space="preserve"> ההחלטה ל</w:t>
      </w:r>
      <w:r w:rsidR="005304BB">
        <w:rPr>
          <w:rFonts w:ascii="Arial" w:hAnsi="Arial" w:hint="cs"/>
          <w:noProof w:val="0"/>
          <w:rtl/>
        </w:rPr>
        <w:t>אשר</w:t>
      </w:r>
      <w:r w:rsidR="00FC390A">
        <w:rPr>
          <w:rFonts w:ascii="Arial" w:hAnsi="Arial" w:hint="cs"/>
          <w:noProof w:val="0"/>
          <w:rtl/>
        </w:rPr>
        <w:t xml:space="preserve"> שימוש חורג,</w:t>
      </w:r>
      <w:r w:rsidR="005304BB">
        <w:rPr>
          <w:rFonts w:ascii="Arial" w:hAnsi="Arial" w:hint="cs"/>
          <w:noProof w:val="0"/>
          <w:rtl/>
        </w:rPr>
        <w:t xml:space="preserve"> ביום</w:t>
      </w:r>
      <w:r w:rsidR="00FC390A">
        <w:rPr>
          <w:rFonts w:ascii="Arial" w:hAnsi="Arial" w:hint="cs"/>
          <w:noProof w:val="0"/>
          <w:rtl/>
        </w:rPr>
        <w:t xml:space="preserve"> 16.9.2015, ולא המועד בו הונפק בפועל ההיתר, לעניין זה ר' </w:t>
      </w:r>
      <w:r w:rsidR="00FC390A" w:rsidRPr="00FC390A">
        <w:rPr>
          <w:rFonts w:ascii="Arial" w:hAnsi="Arial"/>
          <w:noProof w:val="0"/>
          <w:rtl/>
        </w:rPr>
        <w:t>ערר (ת"א) 85269/17</w:t>
      </w:r>
      <w:r w:rsidR="00FC390A">
        <w:rPr>
          <w:rFonts w:ascii="Arial" w:hAnsi="Arial" w:hint="cs"/>
          <w:noProof w:val="0"/>
          <w:rtl/>
        </w:rPr>
        <w:t xml:space="preserve"> </w:t>
      </w:r>
      <w:r w:rsidR="00FC390A" w:rsidRPr="00FC390A">
        <w:rPr>
          <w:rFonts w:ascii="Arial" w:hAnsi="Arial"/>
          <w:b/>
          <w:bCs/>
          <w:noProof w:val="0"/>
          <w:rtl/>
        </w:rPr>
        <w:t>עציון עצים וחומרי בניין בע"מ נ' הוועדה המקומית לתכנון ובניה תל-אביב</w:t>
      </w:r>
      <w:r w:rsidR="00FC390A">
        <w:rPr>
          <w:rFonts w:ascii="Arial" w:hAnsi="Arial" w:hint="cs"/>
          <w:b/>
          <w:bCs/>
          <w:noProof w:val="0"/>
          <w:rtl/>
        </w:rPr>
        <w:t xml:space="preserve"> </w:t>
      </w:r>
      <w:r w:rsidR="00FC390A" w:rsidRPr="00FC390A">
        <w:rPr>
          <w:rFonts w:ascii="Arial" w:hAnsi="Arial" w:hint="cs"/>
          <w:noProof w:val="0"/>
          <w:rtl/>
        </w:rPr>
        <w:t>[פורסם במאגר נבו] (27.1</w:t>
      </w:r>
      <w:r w:rsidR="00FC390A">
        <w:rPr>
          <w:rFonts w:ascii="Arial" w:hAnsi="Arial" w:hint="cs"/>
          <w:noProof w:val="0"/>
          <w:rtl/>
        </w:rPr>
        <w:t>2</w:t>
      </w:r>
      <w:r w:rsidR="00FC390A" w:rsidRPr="00FC390A">
        <w:rPr>
          <w:rFonts w:ascii="Arial" w:hAnsi="Arial" w:hint="cs"/>
          <w:noProof w:val="0"/>
          <w:rtl/>
        </w:rPr>
        <w:t>.2020)</w:t>
      </w:r>
      <w:r w:rsidR="00FC390A">
        <w:rPr>
          <w:rFonts w:ascii="Arial" w:hAnsi="Arial" w:hint="cs"/>
          <w:b/>
          <w:bCs/>
          <w:noProof w:val="0"/>
          <w:rtl/>
        </w:rPr>
        <w:t xml:space="preserve">. </w:t>
      </w:r>
    </w:p>
    <w:p w:rsidR="00624D98" w:rsidRDefault="00624D98" w:rsidP="00624D98">
      <w:pPr>
        <w:pStyle w:val="ad"/>
        <w:spacing w:after="180" w:line="360" w:lineRule="auto"/>
        <w:ind w:left="510"/>
        <w:contextualSpacing w:val="0"/>
        <w:jc w:val="both"/>
        <w:rPr>
          <w:rFonts w:ascii="Arial" w:hAnsi="Arial"/>
          <w:noProof w:val="0"/>
        </w:rPr>
      </w:pPr>
      <w:r>
        <w:rPr>
          <w:rFonts w:ascii="Arial" w:hAnsi="Arial" w:hint="cs"/>
          <w:noProof w:val="0"/>
          <w:rtl/>
        </w:rPr>
        <w:t>כמו כן, אני קובע כי אי תקיפת החלטת הוועדה המקומית לאשר שימוש חורג לתקופת העבר בהליכי הרישוי, אינה יוצרת במקרה זה מניעות מלטעון כנגד החיוב בהיטל השבחה.</w:t>
      </w:r>
    </w:p>
    <w:p w:rsidR="00624D98" w:rsidRDefault="00624D98" w:rsidP="004F4B35">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לאור האמור לעיל, דין הערעור להתקבל, כך שהחיוב בהיטל השבחה של המערערות בגין התקופה שקדמה לאישור השימוש החורג בטל.</w:t>
      </w:r>
    </w:p>
    <w:p w:rsidR="003D7ADA" w:rsidRDefault="00624D98" w:rsidP="00624D98">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lastRenderedPageBreak/>
        <w:t>אציין כי לאור מסקנתי כי</w:t>
      </w:r>
      <w:r w:rsidR="003D7ADA">
        <w:rPr>
          <w:rFonts w:ascii="Arial" w:hAnsi="Arial" w:hint="cs"/>
          <w:noProof w:val="0"/>
          <w:rtl/>
        </w:rPr>
        <w:t xml:space="preserve"> באופן עקרוני לא ניתן לחייב בהיטל השבחה בגין שימוש חורג לתקו</w:t>
      </w:r>
      <w:r>
        <w:rPr>
          <w:rFonts w:ascii="Arial" w:hAnsi="Arial" w:hint="cs"/>
          <w:noProof w:val="0"/>
          <w:rtl/>
        </w:rPr>
        <w:t xml:space="preserve">פה שקדמה להחלטה למתן שימוש חורג, </w:t>
      </w:r>
      <w:r w:rsidR="003D7ADA">
        <w:rPr>
          <w:rFonts w:ascii="Arial" w:hAnsi="Arial" w:hint="cs"/>
          <w:noProof w:val="0"/>
          <w:rtl/>
        </w:rPr>
        <w:t>לא מצאתי לנכון ל</w:t>
      </w:r>
      <w:r>
        <w:rPr>
          <w:rFonts w:ascii="Arial" w:hAnsi="Arial" w:hint="cs"/>
          <w:noProof w:val="0"/>
          <w:rtl/>
        </w:rPr>
        <w:t>דון ביתר הטענות המפורטות בערעור.</w:t>
      </w:r>
    </w:p>
    <w:p w:rsidR="00624D98" w:rsidRDefault="00624D98" w:rsidP="00525FEF">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השומה תתוקן בהתאם לאמור ב</w:t>
      </w:r>
      <w:r w:rsidR="00525FEF">
        <w:rPr>
          <w:rFonts w:ascii="Arial" w:hAnsi="Arial" w:hint="cs"/>
          <w:noProof w:val="0"/>
          <w:rtl/>
        </w:rPr>
        <w:t>פסק דין זה.</w:t>
      </w:r>
      <w:r>
        <w:rPr>
          <w:rFonts w:ascii="Arial" w:hAnsi="Arial" w:hint="cs"/>
          <w:noProof w:val="0"/>
          <w:rtl/>
        </w:rPr>
        <w:t xml:space="preserve"> ככל שהצדדים לא יגיעו להסכמה לגבי תיקון השומה,</w:t>
      </w:r>
      <w:r w:rsidR="00D01ECC">
        <w:rPr>
          <w:rFonts w:ascii="Arial" w:hAnsi="Arial" w:hint="cs"/>
          <w:noProof w:val="0"/>
          <w:rtl/>
        </w:rPr>
        <w:t xml:space="preserve"> יחזור התיק לשמאי המייעץ אשר יישום את היטל ההשבחה החל מיום אישור השימוש החורג על ידי הוועדה המקומית.</w:t>
      </w:r>
    </w:p>
    <w:p w:rsidR="00B45594" w:rsidRDefault="00B45594" w:rsidP="00525FEF">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טרם סיום אעיר, כי אין בכוונת בית המשפט להרפות את ידי המשיבה מ</w:t>
      </w:r>
      <w:r w:rsidR="008D1599">
        <w:rPr>
          <w:rFonts w:ascii="Arial" w:hAnsi="Arial" w:hint="cs"/>
          <w:noProof w:val="0"/>
          <w:rtl/>
        </w:rPr>
        <w:t>נחישותה הראויה  ל</w:t>
      </w:r>
      <w:r>
        <w:rPr>
          <w:rFonts w:ascii="Arial" w:hAnsi="Arial" w:hint="cs"/>
          <w:noProof w:val="0"/>
          <w:rtl/>
        </w:rPr>
        <w:t>גביית מס אמת עבור הפעילות שנעשתה במקרק</w:t>
      </w:r>
      <w:r w:rsidR="00525FEF">
        <w:rPr>
          <w:rFonts w:ascii="Arial" w:hAnsi="Arial" w:hint="cs"/>
          <w:noProof w:val="0"/>
          <w:rtl/>
        </w:rPr>
        <w:t xml:space="preserve">עין, ויש אף לברך על מאמצים אלו. </w:t>
      </w:r>
      <w:r>
        <w:rPr>
          <w:rFonts w:ascii="Arial" w:hAnsi="Arial" w:hint="cs"/>
          <w:noProof w:val="0"/>
          <w:rtl/>
        </w:rPr>
        <w:t>אולם</w:t>
      </w:r>
      <w:r w:rsidR="00525FEF">
        <w:rPr>
          <w:rFonts w:ascii="Arial" w:hAnsi="Arial" w:hint="cs"/>
          <w:noProof w:val="0"/>
          <w:rtl/>
        </w:rPr>
        <w:t>,</w:t>
      </w:r>
      <w:r>
        <w:rPr>
          <w:rFonts w:ascii="Arial" w:hAnsi="Arial" w:hint="cs"/>
          <w:noProof w:val="0"/>
          <w:rtl/>
        </w:rPr>
        <w:t xml:space="preserve"> כאשר המחוקק הקנה קשת של כלים ברורים לגביית מס האמת, גם במקרה שלא הוצא היתר כדין לפעילות, ראוי להשתמש בכלים אלו, ולא בדר</w:t>
      </w:r>
      <w:r w:rsidR="00525FEF">
        <w:rPr>
          <w:rFonts w:ascii="Arial" w:hAnsi="Arial" w:hint="cs"/>
          <w:noProof w:val="0"/>
          <w:rtl/>
        </w:rPr>
        <w:t xml:space="preserve">כים </w:t>
      </w:r>
      <w:r>
        <w:rPr>
          <w:rFonts w:ascii="Arial" w:hAnsi="Arial" w:hint="cs"/>
          <w:noProof w:val="0"/>
          <w:rtl/>
        </w:rPr>
        <w:t>'יצירתיות'</w:t>
      </w:r>
      <w:r w:rsidR="00525FEF">
        <w:rPr>
          <w:rFonts w:ascii="Arial" w:hAnsi="Arial" w:hint="cs"/>
          <w:noProof w:val="0"/>
          <w:rtl/>
        </w:rPr>
        <w:t>, כגון</w:t>
      </w:r>
      <w:r>
        <w:rPr>
          <w:rFonts w:ascii="Arial" w:hAnsi="Arial" w:hint="cs"/>
          <w:noProof w:val="0"/>
          <w:rtl/>
        </w:rPr>
        <w:t xml:space="preserve"> מתן היתר שימוש חורג לעבר.    </w:t>
      </w:r>
    </w:p>
    <w:p w:rsidR="00D01ECC" w:rsidRDefault="00D01ECC" w:rsidP="005304BB">
      <w:pPr>
        <w:pStyle w:val="ad"/>
        <w:numPr>
          <w:ilvl w:val="0"/>
          <w:numId w:val="1"/>
        </w:numPr>
        <w:spacing w:after="180" w:line="360" w:lineRule="auto"/>
        <w:ind w:left="510" w:hanging="567"/>
        <w:contextualSpacing w:val="0"/>
        <w:jc w:val="both"/>
        <w:rPr>
          <w:rFonts w:ascii="Arial" w:hAnsi="Arial"/>
          <w:noProof w:val="0"/>
        </w:rPr>
      </w:pPr>
      <w:r>
        <w:rPr>
          <w:rFonts w:ascii="Arial" w:hAnsi="Arial" w:hint="cs"/>
          <w:noProof w:val="0"/>
          <w:rtl/>
        </w:rPr>
        <w:t>לעניין ההוצאות, הרי מצד אחד, הערעור התקבל, כך שיש מקום לזכות את המערערות בהוצאות. אולם, לאור העובדה כי המערערות, או המחזיקים מטעמן, השתמשו במקרקעין שימוש חורג שלא כדין</w:t>
      </w:r>
      <w:r w:rsidR="005304BB">
        <w:rPr>
          <w:rFonts w:ascii="Arial" w:hAnsi="Arial" w:hint="cs"/>
          <w:noProof w:val="0"/>
          <w:rtl/>
        </w:rPr>
        <w:t xml:space="preserve"> וזאת </w:t>
      </w:r>
      <w:r>
        <w:rPr>
          <w:rFonts w:ascii="Arial" w:hAnsi="Arial" w:hint="cs"/>
          <w:noProof w:val="0"/>
          <w:rtl/>
        </w:rPr>
        <w:t>ללא תשלום היטל השבחה, לא מצאתי לנכון לפס</w:t>
      </w:r>
      <w:r w:rsidR="00197866">
        <w:rPr>
          <w:rFonts w:ascii="Arial" w:hAnsi="Arial" w:hint="cs"/>
          <w:noProof w:val="0"/>
          <w:rtl/>
        </w:rPr>
        <w:t>ו</w:t>
      </w:r>
      <w:r>
        <w:rPr>
          <w:rFonts w:ascii="Arial" w:hAnsi="Arial" w:hint="cs"/>
          <w:noProof w:val="0"/>
          <w:rtl/>
        </w:rPr>
        <w:t xml:space="preserve">ק לזכותן הוצאות, וזאת </w:t>
      </w:r>
      <w:r w:rsidR="005304BB">
        <w:rPr>
          <w:rFonts w:ascii="Arial" w:hAnsi="Arial" w:hint="cs"/>
          <w:noProof w:val="0"/>
          <w:rtl/>
        </w:rPr>
        <w:t xml:space="preserve">(ואיני מכריע בכך) </w:t>
      </w:r>
      <w:r>
        <w:rPr>
          <w:rFonts w:ascii="Arial" w:hAnsi="Arial" w:hint="cs"/>
          <w:noProof w:val="0"/>
          <w:rtl/>
        </w:rPr>
        <w:t xml:space="preserve">אף אם הייתי מקבל את הטענה כי האחריות </w:t>
      </w:r>
      <w:r w:rsidR="005304BB">
        <w:rPr>
          <w:rFonts w:ascii="Arial" w:hAnsi="Arial" w:hint="cs"/>
          <w:noProof w:val="0"/>
          <w:rtl/>
        </w:rPr>
        <w:t xml:space="preserve">הישירה </w:t>
      </w:r>
      <w:r>
        <w:rPr>
          <w:rFonts w:ascii="Arial" w:hAnsi="Arial" w:hint="cs"/>
          <w:noProof w:val="0"/>
          <w:rtl/>
        </w:rPr>
        <w:t>לשימוש החורג של</w:t>
      </w:r>
      <w:r w:rsidR="00197866">
        <w:rPr>
          <w:rFonts w:ascii="Arial" w:hAnsi="Arial" w:hint="cs"/>
          <w:noProof w:val="0"/>
          <w:rtl/>
        </w:rPr>
        <w:t>א</w:t>
      </w:r>
      <w:r>
        <w:rPr>
          <w:rFonts w:ascii="Arial" w:hAnsi="Arial" w:hint="cs"/>
          <w:noProof w:val="0"/>
          <w:rtl/>
        </w:rPr>
        <w:t xml:space="preserve"> כדין הינה של המחזיקים </w:t>
      </w:r>
      <w:r w:rsidR="00525FEF">
        <w:rPr>
          <w:rFonts w:ascii="Arial" w:hAnsi="Arial" w:hint="cs"/>
          <w:noProof w:val="0"/>
          <w:rtl/>
        </w:rPr>
        <w:t>מטעמן ולא של המערערות עצמן.</w:t>
      </w:r>
    </w:p>
    <w:p w:rsidR="00802271" w:rsidRDefault="00802271" w:rsidP="000155D0">
      <w:pPr>
        <w:spacing w:after="180" w:line="360" w:lineRule="auto"/>
        <w:ind w:left="-57"/>
        <w:jc w:val="both"/>
        <w:rPr>
          <w:rFonts w:ascii="Arial" w:hAnsi="Arial"/>
          <w:noProof w:val="0"/>
          <w:rtl/>
        </w:rPr>
      </w:pPr>
    </w:p>
    <w:p w:rsidR="00694556" w:rsidRPr="000155D0" w:rsidRDefault="00005C8B" w:rsidP="00802271">
      <w:pPr>
        <w:spacing w:after="180" w:line="360" w:lineRule="auto"/>
        <w:ind w:left="-57"/>
        <w:jc w:val="both"/>
        <w:rPr>
          <w:rFonts w:ascii="Arial" w:hAnsi="Arial"/>
          <w:noProof w:val="0"/>
          <w:rtl/>
        </w:rPr>
      </w:pPr>
      <w:r w:rsidRPr="000155D0">
        <w:rPr>
          <w:rFonts w:ascii="Arial" w:hAnsi="Arial"/>
          <w:noProof w:val="0"/>
          <w:rtl/>
        </w:rPr>
        <w:t xml:space="preserve">ניתן היום,  </w:t>
      </w:r>
      <w:r w:rsidR="00802271">
        <w:rPr>
          <w:rFonts w:ascii="Arial" w:hAnsi="Arial" w:hint="cs"/>
          <w:noProof w:val="0"/>
          <w:rtl/>
        </w:rPr>
        <w:t>ד' סיון</w:t>
      </w:r>
      <w:r w:rsidRPr="000155D0">
        <w:rPr>
          <w:rFonts w:ascii="Arial" w:hAnsi="Arial"/>
          <w:noProof w:val="0"/>
          <w:rtl/>
        </w:rPr>
        <w:t xml:space="preserve"> תשפ"ג, </w:t>
      </w:r>
      <w:r w:rsidR="00802271">
        <w:rPr>
          <w:rFonts w:ascii="Arial" w:hAnsi="Arial" w:hint="cs"/>
          <w:noProof w:val="0"/>
          <w:rtl/>
        </w:rPr>
        <w:t>24</w:t>
      </w:r>
      <w:r w:rsidRPr="000155D0">
        <w:rPr>
          <w:rFonts w:ascii="Arial" w:hAnsi="Arial"/>
          <w:noProof w:val="0"/>
          <w:rtl/>
        </w:rPr>
        <w:t xml:space="preserve"> מאי 2023,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C3796" w:rsidP="00633C4F">
      <w:pPr>
        <w:spacing w:line="360" w:lineRule="auto"/>
        <w:ind w:left="3600" w:firstLine="720"/>
      </w:pPr>
      <w:sdt>
        <w:sdtPr>
          <w:rPr>
            <w:rtl/>
          </w:rPr>
          <w:alias w:val="MergeField"/>
          <w:tag w:val="1237"/>
          <w:id w:val="2075386806"/>
        </w:sdtPr>
        <w:sdtEndPr/>
        <w:sdtContent>
          <w:r w:rsidR="000727D0">
            <w:drawing>
              <wp:inline distT="0" distB="0" distL="0" distR="0" wp14:editId="50D07946">
                <wp:extent cx="990600"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90600" cy="1076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546EB9">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796" w:rsidRDefault="008C3796">
      <w:r>
        <w:separator/>
      </w:r>
    </w:p>
  </w:endnote>
  <w:endnote w:type="continuationSeparator" w:id="0">
    <w:p w:rsidR="008C3796" w:rsidRDefault="008C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B96" w:rsidRDefault="001F5B9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0214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02142">
      <w:rPr>
        <w:rStyle w:val="ab"/>
        <w:rtl/>
      </w:rPr>
      <w:t>23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B96" w:rsidRDefault="001F5B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796" w:rsidRDefault="008C3796">
      <w:r>
        <w:separator/>
      </w:r>
    </w:p>
  </w:footnote>
  <w:footnote w:type="continuationSeparator" w:id="0">
    <w:p w:rsidR="008C3796" w:rsidRDefault="008C3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B96" w:rsidRDefault="001F5B9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 יפו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0A08A2" w:rsidRDefault="008C3796" w:rsidP="000A08A2">
          <w:pPr>
            <w:rPr>
              <w:b/>
              <w:bCs/>
              <w:noProof w:val="0"/>
              <w:sz w:val="28"/>
              <w:szCs w:val="28"/>
              <w:rtl/>
            </w:rPr>
          </w:pPr>
          <w:sdt>
            <w:sdtPr>
              <w:rPr>
                <w:b/>
                <w:bCs/>
                <w:noProof w:val="0"/>
                <w:sz w:val="28"/>
                <w:szCs w:val="28"/>
                <w:rtl/>
              </w:rPr>
              <w:alias w:val="1170"/>
              <w:tag w:val="1170"/>
              <w:id w:val="299038016"/>
              <w:text w:multiLine="1"/>
            </w:sdtPr>
            <w:sdtEndPr/>
            <w:sdtContent>
              <w:r w:rsidR="00665ADE" w:rsidRPr="000A08A2">
                <w:rPr>
                  <w:b/>
                  <w:bCs/>
                  <w:noProof w:val="0"/>
                  <w:sz w:val="28"/>
                  <w:szCs w:val="28"/>
                  <w:rtl/>
                </w:rPr>
                <w:t>עמ"נ</w:t>
              </w:r>
            </w:sdtContent>
          </w:sdt>
          <w:r w:rsidR="00005C8B" w:rsidRPr="000A08A2">
            <w:rPr>
              <w:b/>
              <w:bCs/>
              <w:noProof w:val="0"/>
              <w:sz w:val="28"/>
              <w:szCs w:val="28"/>
              <w:rtl/>
            </w:rPr>
            <w:t xml:space="preserve"> </w:t>
          </w:r>
          <w:sdt>
            <w:sdtPr>
              <w:rPr>
                <w:b/>
                <w:bCs/>
                <w:noProof w:val="0"/>
                <w:sz w:val="28"/>
                <w:szCs w:val="28"/>
                <w:rtl/>
              </w:rPr>
              <w:alias w:val="1171"/>
              <w:tag w:val="1171"/>
              <w:id w:val="81650337"/>
              <w:text w:multiLine="1"/>
            </w:sdtPr>
            <w:sdtEndPr/>
            <w:sdtContent>
              <w:r w:rsidR="00665ADE" w:rsidRPr="000A08A2">
                <w:rPr>
                  <w:b/>
                  <w:bCs/>
                  <w:noProof w:val="0"/>
                  <w:sz w:val="28"/>
                  <w:szCs w:val="28"/>
                  <w:rtl/>
                </w:rPr>
                <w:t>18996-10-21</w:t>
              </w:r>
            </w:sdtContent>
          </w:sdt>
          <w:r w:rsidR="00005C8B" w:rsidRPr="000A08A2">
            <w:rPr>
              <w:b/>
              <w:bCs/>
              <w:noProof w:val="0"/>
              <w:sz w:val="28"/>
              <w:szCs w:val="28"/>
              <w:rtl/>
            </w:rPr>
            <w:t xml:space="preserve"> </w:t>
          </w:r>
          <w:sdt>
            <w:sdtPr>
              <w:rPr>
                <w:b/>
                <w:bCs/>
                <w:noProof w:val="0"/>
                <w:sz w:val="28"/>
                <w:szCs w:val="28"/>
                <w:rtl/>
              </w:rPr>
              <w:alias w:val="1172"/>
              <w:tag w:val="1172"/>
              <w:id w:val="-1742169342"/>
              <w:text w:multiLine="1"/>
            </w:sdtPr>
            <w:sdtEndPr/>
            <w:sdtContent>
              <w:r w:rsidR="00665ADE" w:rsidRPr="000A08A2">
                <w:rPr>
                  <w:b/>
                  <w:bCs/>
                  <w:noProof w:val="0"/>
                  <w:sz w:val="28"/>
                  <w:szCs w:val="28"/>
                  <w:rtl/>
                </w:rPr>
                <w:t>אפריקה ישראל מגורים בע"מ ואח' נ'</w:t>
              </w:r>
              <w:r w:rsidR="000A08A2" w:rsidRPr="000A08A2">
                <w:rPr>
                  <w:rFonts w:hint="cs"/>
                  <w:b/>
                  <w:bCs/>
                  <w:noProof w:val="0"/>
                  <w:sz w:val="28"/>
                  <w:szCs w:val="28"/>
                  <w:rtl/>
                </w:rPr>
                <w:t xml:space="preserve"> ה</w:t>
              </w:r>
              <w:r w:rsidR="00665ADE" w:rsidRPr="000A08A2">
                <w:rPr>
                  <w:b/>
                  <w:bCs/>
                  <w:noProof w:val="0"/>
                  <w:sz w:val="28"/>
                  <w:szCs w:val="28"/>
                  <w:rtl/>
                </w:rPr>
                <w:t>ו</w:t>
              </w:r>
              <w:r w:rsidR="000A08A2" w:rsidRPr="000A08A2">
                <w:rPr>
                  <w:rFonts w:hint="cs"/>
                  <w:b/>
                  <w:bCs/>
                  <w:noProof w:val="0"/>
                  <w:sz w:val="28"/>
                  <w:szCs w:val="28"/>
                  <w:rtl/>
                </w:rPr>
                <w:t>ו</w:t>
              </w:r>
              <w:r w:rsidR="00665ADE" w:rsidRPr="000A08A2">
                <w:rPr>
                  <w:b/>
                  <w:bCs/>
                  <w:noProof w:val="0"/>
                  <w:sz w:val="28"/>
                  <w:szCs w:val="28"/>
                  <w:rtl/>
                </w:rPr>
                <w:t xml:space="preserve">עדה </w:t>
              </w:r>
              <w:r w:rsidR="000A08A2" w:rsidRPr="000A08A2">
                <w:rPr>
                  <w:rFonts w:hint="cs"/>
                  <w:b/>
                  <w:bCs/>
                  <w:noProof w:val="0"/>
                  <w:sz w:val="28"/>
                  <w:szCs w:val="28"/>
                  <w:rtl/>
                </w:rPr>
                <w:t>ה</w:t>
              </w:r>
              <w:r w:rsidR="00665ADE" w:rsidRPr="000A08A2">
                <w:rPr>
                  <w:b/>
                  <w:bCs/>
                  <w:noProof w:val="0"/>
                  <w:sz w:val="28"/>
                  <w:szCs w:val="28"/>
                  <w:rtl/>
                </w:rPr>
                <w:t>מקומית לתכנון ו</w:t>
              </w:r>
              <w:r w:rsidR="000A08A2" w:rsidRPr="000A08A2">
                <w:rPr>
                  <w:rFonts w:hint="cs"/>
                  <w:b/>
                  <w:bCs/>
                  <w:noProof w:val="0"/>
                  <w:sz w:val="28"/>
                  <w:szCs w:val="28"/>
                  <w:rtl/>
                </w:rPr>
                <w:t>ל</w:t>
              </w:r>
              <w:r w:rsidR="00665ADE" w:rsidRPr="000A08A2">
                <w:rPr>
                  <w:b/>
                  <w:bCs/>
                  <w:noProof w:val="0"/>
                  <w:sz w:val="28"/>
                  <w:szCs w:val="28"/>
                  <w:rtl/>
                </w:rPr>
                <w:t>בניה תל אביב</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rsidP="000A08A2">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B96" w:rsidRDefault="001F5B9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74F59"/>
    <w:multiLevelType w:val="hybridMultilevel"/>
    <w:tmpl w:val="DE40E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340F4"/>
    <w:multiLevelType w:val="hybridMultilevel"/>
    <w:tmpl w:val="2A401F2A"/>
    <w:lvl w:ilvl="0" w:tplc="0350862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DA9"/>
    <w:rsid w:val="00005C8B"/>
    <w:rsid w:val="000146C2"/>
    <w:rsid w:val="000155D0"/>
    <w:rsid w:val="00016C35"/>
    <w:rsid w:val="00017DC4"/>
    <w:rsid w:val="000215CC"/>
    <w:rsid w:val="000258FD"/>
    <w:rsid w:val="000564AB"/>
    <w:rsid w:val="000661C4"/>
    <w:rsid w:val="000727D0"/>
    <w:rsid w:val="000801AC"/>
    <w:rsid w:val="0009569D"/>
    <w:rsid w:val="000A08A2"/>
    <w:rsid w:val="000A2177"/>
    <w:rsid w:val="000B2E97"/>
    <w:rsid w:val="000B7B11"/>
    <w:rsid w:val="000C6E7F"/>
    <w:rsid w:val="000D280D"/>
    <w:rsid w:val="000D4A02"/>
    <w:rsid w:val="000E16FE"/>
    <w:rsid w:val="000F1929"/>
    <w:rsid w:val="001072A9"/>
    <w:rsid w:val="00121F97"/>
    <w:rsid w:val="001277D7"/>
    <w:rsid w:val="00132017"/>
    <w:rsid w:val="0014234E"/>
    <w:rsid w:val="00145A87"/>
    <w:rsid w:val="00160A92"/>
    <w:rsid w:val="00176DB5"/>
    <w:rsid w:val="00185782"/>
    <w:rsid w:val="00195D8D"/>
    <w:rsid w:val="00197866"/>
    <w:rsid w:val="001A0915"/>
    <w:rsid w:val="001A570D"/>
    <w:rsid w:val="001B3BC7"/>
    <w:rsid w:val="001B74D9"/>
    <w:rsid w:val="001C4003"/>
    <w:rsid w:val="001D40FB"/>
    <w:rsid w:val="001F5474"/>
    <w:rsid w:val="001F5B96"/>
    <w:rsid w:val="00205767"/>
    <w:rsid w:val="00220148"/>
    <w:rsid w:val="002217E3"/>
    <w:rsid w:val="00234CA8"/>
    <w:rsid w:val="002352F7"/>
    <w:rsid w:val="00244BC0"/>
    <w:rsid w:val="00247143"/>
    <w:rsid w:val="002525AB"/>
    <w:rsid w:val="00272B67"/>
    <w:rsid w:val="002852AD"/>
    <w:rsid w:val="00295DD1"/>
    <w:rsid w:val="002A2E0E"/>
    <w:rsid w:val="002B24C4"/>
    <w:rsid w:val="002E667E"/>
    <w:rsid w:val="002F226B"/>
    <w:rsid w:val="0031428B"/>
    <w:rsid w:val="003158B7"/>
    <w:rsid w:val="00322EAB"/>
    <w:rsid w:val="00381D3A"/>
    <w:rsid w:val="003823DA"/>
    <w:rsid w:val="00396E24"/>
    <w:rsid w:val="003A780D"/>
    <w:rsid w:val="003B00D3"/>
    <w:rsid w:val="003D7ADA"/>
    <w:rsid w:val="003E7CA8"/>
    <w:rsid w:val="003F5BD8"/>
    <w:rsid w:val="0042490E"/>
    <w:rsid w:val="0043595F"/>
    <w:rsid w:val="004750B4"/>
    <w:rsid w:val="0047645A"/>
    <w:rsid w:val="00497316"/>
    <w:rsid w:val="004B0B67"/>
    <w:rsid w:val="004C17CA"/>
    <w:rsid w:val="004D49A3"/>
    <w:rsid w:val="004E341B"/>
    <w:rsid w:val="004E4373"/>
    <w:rsid w:val="004E6E3C"/>
    <w:rsid w:val="004E797A"/>
    <w:rsid w:val="004F2BE9"/>
    <w:rsid w:val="004F4B35"/>
    <w:rsid w:val="005124F1"/>
    <w:rsid w:val="0051350E"/>
    <w:rsid w:val="0052163F"/>
    <w:rsid w:val="00525FEF"/>
    <w:rsid w:val="005304BB"/>
    <w:rsid w:val="00530BAD"/>
    <w:rsid w:val="00541598"/>
    <w:rsid w:val="00546EB9"/>
    <w:rsid w:val="00547DB7"/>
    <w:rsid w:val="00550143"/>
    <w:rsid w:val="00553610"/>
    <w:rsid w:val="00554B37"/>
    <w:rsid w:val="00561CD4"/>
    <w:rsid w:val="00567324"/>
    <w:rsid w:val="005813B9"/>
    <w:rsid w:val="005B0F49"/>
    <w:rsid w:val="005C7EC6"/>
    <w:rsid w:val="005D4BDB"/>
    <w:rsid w:val="005F152F"/>
    <w:rsid w:val="00622BAA"/>
    <w:rsid w:val="00624D98"/>
    <w:rsid w:val="00625C89"/>
    <w:rsid w:val="00633405"/>
    <w:rsid w:val="00633C4F"/>
    <w:rsid w:val="0064022B"/>
    <w:rsid w:val="00640EFA"/>
    <w:rsid w:val="00655540"/>
    <w:rsid w:val="00665ADE"/>
    <w:rsid w:val="00671BD5"/>
    <w:rsid w:val="006805C1"/>
    <w:rsid w:val="006816EC"/>
    <w:rsid w:val="00687CBB"/>
    <w:rsid w:val="00694556"/>
    <w:rsid w:val="00695A5B"/>
    <w:rsid w:val="006B5553"/>
    <w:rsid w:val="006C131C"/>
    <w:rsid w:val="006E1A53"/>
    <w:rsid w:val="007056AA"/>
    <w:rsid w:val="00744F41"/>
    <w:rsid w:val="00763296"/>
    <w:rsid w:val="00786674"/>
    <w:rsid w:val="00791D5A"/>
    <w:rsid w:val="007A24FE"/>
    <w:rsid w:val="007A35AA"/>
    <w:rsid w:val="007B0D07"/>
    <w:rsid w:val="007E0258"/>
    <w:rsid w:val="007F1048"/>
    <w:rsid w:val="00802271"/>
    <w:rsid w:val="00820005"/>
    <w:rsid w:val="0082653C"/>
    <w:rsid w:val="0083107C"/>
    <w:rsid w:val="00846D27"/>
    <w:rsid w:val="008610A7"/>
    <w:rsid w:val="00872DBA"/>
    <w:rsid w:val="00892444"/>
    <w:rsid w:val="008A4FDA"/>
    <w:rsid w:val="008A787F"/>
    <w:rsid w:val="008C3796"/>
    <w:rsid w:val="008D1599"/>
    <w:rsid w:val="008E1332"/>
    <w:rsid w:val="00901E72"/>
    <w:rsid w:val="00902142"/>
    <w:rsid w:val="009022E5"/>
    <w:rsid w:val="00903896"/>
    <w:rsid w:val="00907729"/>
    <w:rsid w:val="00927813"/>
    <w:rsid w:val="00933DCE"/>
    <w:rsid w:val="00944D13"/>
    <w:rsid w:val="00957C90"/>
    <w:rsid w:val="009908C0"/>
    <w:rsid w:val="00991E74"/>
    <w:rsid w:val="00992FCA"/>
    <w:rsid w:val="0099594E"/>
    <w:rsid w:val="009A1A53"/>
    <w:rsid w:val="009A7D29"/>
    <w:rsid w:val="009C6B9C"/>
    <w:rsid w:val="009E0263"/>
    <w:rsid w:val="009E07F0"/>
    <w:rsid w:val="009E6F96"/>
    <w:rsid w:val="009E7F85"/>
    <w:rsid w:val="00A0260A"/>
    <w:rsid w:val="00A156E6"/>
    <w:rsid w:val="00A20FC5"/>
    <w:rsid w:val="00A267CF"/>
    <w:rsid w:val="00A34D4B"/>
    <w:rsid w:val="00A43458"/>
    <w:rsid w:val="00A5762E"/>
    <w:rsid w:val="00A62349"/>
    <w:rsid w:val="00A6533D"/>
    <w:rsid w:val="00A744B3"/>
    <w:rsid w:val="00A94272"/>
    <w:rsid w:val="00A95066"/>
    <w:rsid w:val="00AA51B6"/>
    <w:rsid w:val="00AB3930"/>
    <w:rsid w:val="00AC4E19"/>
    <w:rsid w:val="00AE243F"/>
    <w:rsid w:val="00AE3ED7"/>
    <w:rsid w:val="00AF1ED6"/>
    <w:rsid w:val="00B025A4"/>
    <w:rsid w:val="00B31C38"/>
    <w:rsid w:val="00B32C61"/>
    <w:rsid w:val="00B35D3B"/>
    <w:rsid w:val="00B368FE"/>
    <w:rsid w:val="00B42809"/>
    <w:rsid w:val="00B45594"/>
    <w:rsid w:val="00B57B9C"/>
    <w:rsid w:val="00B76DB1"/>
    <w:rsid w:val="00B80CBD"/>
    <w:rsid w:val="00BA1D43"/>
    <w:rsid w:val="00BC3369"/>
    <w:rsid w:val="00BC5EF9"/>
    <w:rsid w:val="00BC766B"/>
    <w:rsid w:val="00BD01D3"/>
    <w:rsid w:val="00BD3C2E"/>
    <w:rsid w:val="00BE73B8"/>
    <w:rsid w:val="00BF77EE"/>
    <w:rsid w:val="00C039B5"/>
    <w:rsid w:val="00C32E0F"/>
    <w:rsid w:val="00C40D04"/>
    <w:rsid w:val="00C42BF9"/>
    <w:rsid w:val="00C471EC"/>
    <w:rsid w:val="00C47359"/>
    <w:rsid w:val="00C75DA2"/>
    <w:rsid w:val="00C83E56"/>
    <w:rsid w:val="00C8612C"/>
    <w:rsid w:val="00C97F94"/>
    <w:rsid w:val="00CC783F"/>
    <w:rsid w:val="00CD0055"/>
    <w:rsid w:val="00CD41FE"/>
    <w:rsid w:val="00D01ECC"/>
    <w:rsid w:val="00D17442"/>
    <w:rsid w:val="00D30495"/>
    <w:rsid w:val="00D319B3"/>
    <w:rsid w:val="00D33C25"/>
    <w:rsid w:val="00D40764"/>
    <w:rsid w:val="00D446AB"/>
    <w:rsid w:val="00D53924"/>
    <w:rsid w:val="00D56A59"/>
    <w:rsid w:val="00D60849"/>
    <w:rsid w:val="00D745DB"/>
    <w:rsid w:val="00D874A1"/>
    <w:rsid w:val="00D96D8C"/>
    <w:rsid w:val="00DA3309"/>
    <w:rsid w:val="00DA4A38"/>
    <w:rsid w:val="00DB16AD"/>
    <w:rsid w:val="00DB5D3A"/>
    <w:rsid w:val="00DD337E"/>
    <w:rsid w:val="00E00B6F"/>
    <w:rsid w:val="00E31E69"/>
    <w:rsid w:val="00E50B33"/>
    <w:rsid w:val="00E54642"/>
    <w:rsid w:val="00E65279"/>
    <w:rsid w:val="00E95C65"/>
    <w:rsid w:val="00E97908"/>
    <w:rsid w:val="00EE2334"/>
    <w:rsid w:val="00EF3ED0"/>
    <w:rsid w:val="00F17E56"/>
    <w:rsid w:val="00F253FA"/>
    <w:rsid w:val="00F36EE7"/>
    <w:rsid w:val="00F41613"/>
    <w:rsid w:val="00F44FA0"/>
    <w:rsid w:val="00F675D9"/>
    <w:rsid w:val="00F772B4"/>
    <w:rsid w:val="00F81CF5"/>
    <w:rsid w:val="00FA5F17"/>
    <w:rsid w:val="00FC390A"/>
    <w:rsid w:val="00FD5E1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F36EE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3158B7"/>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46EB9"/>
    <w:pPr>
      <w:ind w:left="720"/>
      <w:contextualSpacing/>
    </w:pPr>
  </w:style>
  <w:style w:type="character" w:customStyle="1" w:styleId="50">
    <w:name w:val="כותרת 5 תו"/>
    <w:basedOn w:val="a0"/>
    <w:link w:val="5"/>
    <w:semiHidden/>
    <w:rsid w:val="003158B7"/>
    <w:rPr>
      <w:rFonts w:asciiTheme="majorHAnsi" w:eastAsiaTheme="majorEastAsia" w:hAnsiTheme="majorHAnsi" w:cstheme="majorBidi"/>
      <w:noProof/>
      <w:color w:val="365F91" w:themeColor="accent1" w:themeShade="BF"/>
      <w:sz w:val="24"/>
      <w:szCs w:val="24"/>
    </w:rPr>
  </w:style>
  <w:style w:type="character" w:customStyle="1" w:styleId="10">
    <w:name w:val="כותרת 1 תו"/>
    <w:basedOn w:val="a0"/>
    <w:link w:val="1"/>
    <w:rsid w:val="00F36EE7"/>
    <w:rPr>
      <w:rFonts w:asciiTheme="majorHAnsi" w:eastAsiaTheme="majorEastAsia" w:hAnsiTheme="majorHAnsi" w:cstheme="majorBidi"/>
      <w:noProof/>
      <w:color w:val="365F91" w:themeColor="accent1" w:themeShade="BF"/>
      <w:sz w:val="32"/>
      <w:szCs w:val="32"/>
    </w:rPr>
  </w:style>
  <w:style w:type="paragraph" w:customStyle="1" w:styleId="listparagraph">
    <w:name w:val="listparagraph"/>
    <w:basedOn w:val="a"/>
    <w:rsid w:val="00907729"/>
    <w:pPr>
      <w:bidi w:val="0"/>
      <w:spacing w:before="100" w:beforeAutospacing="1" w:after="100" w:afterAutospacing="1"/>
    </w:pPr>
    <w:rPr>
      <w:rFonts w:cs="Times New Roman"/>
      <w:noProof w:val="0"/>
    </w:rPr>
  </w:style>
  <w:style w:type="paragraph" w:customStyle="1" w:styleId="ruller4">
    <w:name w:val="ruller4"/>
    <w:basedOn w:val="a"/>
    <w:rsid w:val="001D40FB"/>
    <w:pPr>
      <w:bidi w:val="0"/>
      <w:spacing w:before="100" w:beforeAutospacing="1" w:after="100" w:afterAutospacing="1"/>
    </w:pPr>
    <w:rPr>
      <w:rFonts w:cs="Times New Roman"/>
      <w:noProof w:val="0"/>
    </w:rPr>
  </w:style>
  <w:style w:type="character" w:styleId="Hyperlink">
    <w:name w:val="Hyperlink"/>
    <w:basedOn w:val="a0"/>
    <w:uiPriority w:val="99"/>
    <w:semiHidden/>
    <w:unhideWhenUsed/>
    <w:rsid w:val="001D40FB"/>
    <w:rPr>
      <w:color w:val="0000FF"/>
      <w:u w:val="single"/>
    </w:rPr>
  </w:style>
  <w:style w:type="paragraph" w:customStyle="1" w:styleId="ruller5">
    <w:name w:val="ruller5"/>
    <w:basedOn w:val="a"/>
    <w:rsid w:val="001D40FB"/>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13120">
      <w:bodyDiv w:val="1"/>
      <w:marLeft w:val="0"/>
      <w:marRight w:val="0"/>
      <w:marTop w:val="0"/>
      <w:marBottom w:val="0"/>
      <w:divBdr>
        <w:top w:val="none" w:sz="0" w:space="0" w:color="auto"/>
        <w:left w:val="none" w:sz="0" w:space="0" w:color="auto"/>
        <w:bottom w:val="none" w:sz="0" w:space="0" w:color="auto"/>
        <w:right w:val="none" w:sz="0" w:space="0" w:color="auto"/>
      </w:divBdr>
    </w:div>
    <w:div w:id="272249982">
      <w:bodyDiv w:val="1"/>
      <w:marLeft w:val="0"/>
      <w:marRight w:val="0"/>
      <w:marTop w:val="0"/>
      <w:marBottom w:val="0"/>
      <w:divBdr>
        <w:top w:val="none" w:sz="0" w:space="0" w:color="auto"/>
        <w:left w:val="none" w:sz="0" w:space="0" w:color="auto"/>
        <w:bottom w:val="none" w:sz="0" w:space="0" w:color="auto"/>
        <w:right w:val="none" w:sz="0" w:space="0" w:color="auto"/>
      </w:divBdr>
    </w:div>
    <w:div w:id="885070741">
      <w:bodyDiv w:val="1"/>
      <w:marLeft w:val="0"/>
      <w:marRight w:val="0"/>
      <w:marTop w:val="0"/>
      <w:marBottom w:val="0"/>
      <w:divBdr>
        <w:top w:val="none" w:sz="0" w:space="0" w:color="auto"/>
        <w:left w:val="none" w:sz="0" w:space="0" w:color="auto"/>
        <w:bottom w:val="none" w:sz="0" w:space="0" w:color="auto"/>
        <w:right w:val="none" w:sz="0" w:space="0" w:color="auto"/>
      </w:divBdr>
    </w:div>
    <w:div w:id="119040979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51818733">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6551732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3711309">
      <w:bodyDiv w:val="1"/>
      <w:marLeft w:val="0"/>
      <w:marRight w:val="0"/>
      <w:marTop w:val="0"/>
      <w:marBottom w:val="0"/>
      <w:divBdr>
        <w:top w:val="none" w:sz="0" w:space="0" w:color="auto"/>
        <w:left w:val="none" w:sz="0" w:space="0" w:color="auto"/>
        <w:bottom w:val="none" w:sz="0" w:space="0" w:color="auto"/>
        <w:right w:val="none" w:sz="0" w:space="0" w:color="auto"/>
      </w:divBdr>
    </w:div>
    <w:div w:id="154949279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1360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800CC"/>
    <w:rsid w:val="00227C29"/>
    <w:rsid w:val="00C743E0"/>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6378</Words>
  <Characters>31894</Characters>
  <Application>Microsoft Office Word</Application>
  <DocSecurity>0</DocSecurity>
  <Lines>265</Lines>
  <Paragraphs>76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2023-05-24T12:43:00Z</cp:lastPrinted>
  <dcterms:created xsi:type="dcterms:W3CDTF">2023-05-29T09:27:00Z</dcterms:created>
  <dcterms:modified xsi:type="dcterms:W3CDTF">2023-05-29T09:27:00Z</dcterms:modified>
</cp:coreProperties>
</file>